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before="49"/>
        <w:ind w:left="0" w:right="2317" w:firstLine="0"/>
        <w:jc w:val="center"/>
        <w:rPr>
          <w:rFonts w:hint="eastAsia" w:ascii="黑体" w:eastAsia="黑体"/>
          <w:sz w:val="36"/>
        </w:rPr>
      </w:pPr>
      <w:r>
        <w:rPr>
          <w:rFonts w:hint="eastAsia" w:ascii="黑体" w:eastAsia="黑体"/>
          <w:sz w:val="36"/>
          <w:lang w:val="en-US" w:eastAsia="zh-CN"/>
        </w:rPr>
        <w:t xml:space="preserve">           </w:t>
      </w:r>
      <w:r>
        <w:rPr>
          <w:rFonts w:hint="eastAsia" w:ascii="黑体" w:eastAsia="黑体"/>
          <w:sz w:val="36"/>
        </w:rPr>
        <w:t>晋商银行个人征信授</w:t>
      </w:r>
      <w:r>
        <w:rPr>
          <w:rFonts w:hint="eastAsia" w:ascii="黑体" w:eastAsia="黑体"/>
          <w:sz w:val="36"/>
          <w:lang w:eastAsia="zh-CN"/>
        </w:rPr>
        <w:t>权</w:t>
      </w:r>
      <w:r>
        <w:rPr>
          <w:rFonts w:hint="eastAsia" w:ascii="黑体" w:eastAsia="黑体"/>
          <w:sz w:val="36"/>
        </w:rPr>
        <w:t>书</w:t>
      </w:r>
    </w:p>
    <w:p>
      <w:pPr>
        <w:keepNext w:val="0"/>
        <w:keepLines w:val="0"/>
        <w:pageBreakBefore w:val="0"/>
        <w:widowControl w:val="0"/>
        <w:kinsoku/>
        <w:wordWrap/>
        <w:overflowPunct/>
        <w:topLinePunct w:val="0"/>
        <w:autoSpaceDE w:val="0"/>
        <w:autoSpaceDN w:val="0"/>
        <w:bidi w:val="0"/>
        <w:adjustRightInd/>
        <w:snapToGrid/>
        <w:spacing w:before="164"/>
        <w:ind w:left="119" w:right="0" w:firstLine="0"/>
        <w:jc w:val="left"/>
        <w:textAlignment w:val="auto"/>
        <w:rPr>
          <w:rFonts w:hint="eastAsia"/>
          <w:b/>
          <w:bCs/>
          <w:sz w:val="27"/>
        </w:rPr>
      </w:pPr>
      <w:r>
        <w:rPr>
          <w:rFonts w:hint="eastAsia"/>
          <w:b/>
          <w:bCs/>
          <w:sz w:val="27"/>
        </w:rPr>
        <w:t>重要提示：</w:t>
      </w:r>
    </w:p>
    <w:p>
      <w:pPr>
        <w:keepNext w:val="0"/>
        <w:keepLines w:val="0"/>
        <w:pageBreakBefore w:val="0"/>
        <w:widowControl w:val="0"/>
        <w:kinsoku/>
        <w:wordWrap/>
        <w:overflowPunct/>
        <w:topLinePunct w:val="0"/>
        <w:autoSpaceDE w:val="0"/>
        <w:autoSpaceDN w:val="0"/>
        <w:bidi w:val="0"/>
        <w:adjustRightInd/>
        <w:snapToGrid/>
        <w:spacing w:before="164"/>
        <w:ind w:left="119" w:right="0" w:firstLine="542" w:firstLineChars="200"/>
        <w:jc w:val="left"/>
        <w:textAlignment w:val="auto"/>
        <w:rPr>
          <w:b/>
          <w:bCs/>
          <w:sz w:val="27"/>
        </w:rPr>
      </w:pPr>
      <w:r>
        <w:rPr>
          <w:rFonts w:hint="eastAsia"/>
          <w:b/>
          <w:bCs/>
          <w:sz w:val="27"/>
        </w:rPr>
        <w:t>本授权书是由您出具的授权晋商银行股份有限公司（包括晋商银行分支机构，以下简称“贵行”）处理个人资信信息（含个人征信）的文件。请您务必认真阅读本授权书，尤其是加粗部分，在充分了解后慎重决定是否同意本授权书。</w:t>
      </w:r>
    </w:p>
    <w:p>
      <w:pPr>
        <w:spacing w:before="164"/>
        <w:ind w:left="117" w:right="0" w:firstLine="0"/>
        <w:jc w:val="left"/>
        <w:rPr>
          <w:sz w:val="27"/>
        </w:rPr>
      </w:pPr>
      <w:r>
        <w:rPr>
          <w:sz w:val="27"/>
        </w:rPr>
        <w:t>晋商银行股份有限公司：</w:t>
      </w:r>
    </w:p>
    <w:p>
      <w:pPr>
        <w:pStyle w:val="3"/>
        <w:spacing w:before="43" w:line="268" w:lineRule="auto"/>
        <w:ind w:right="112"/>
        <w:jc w:val="both"/>
        <w:rPr>
          <w:b/>
          <w:bCs/>
          <w:sz w:val="27"/>
          <w:szCs w:val="27"/>
        </w:rPr>
      </w:pPr>
      <w:r>
        <w:rPr>
          <w:b w:val="0"/>
          <w:bCs w:val="0"/>
          <w:sz w:val="27"/>
          <w:szCs w:val="27"/>
        </w:rPr>
        <w:drawing>
          <wp:anchor distT="0" distB="0" distL="0" distR="0" simplePos="0" relativeHeight="251660288" behindDoc="1" locked="0" layoutInCell="1" allowOverlap="1">
            <wp:simplePos x="0" y="0"/>
            <wp:positionH relativeFrom="page">
              <wp:posOffset>1894205</wp:posOffset>
            </wp:positionH>
            <wp:positionV relativeFrom="paragraph">
              <wp:posOffset>878840</wp:posOffset>
            </wp:positionV>
            <wp:extent cx="3977640" cy="3953510"/>
            <wp:effectExtent l="0" t="0" r="3810" b="8890"/>
            <wp:wrapNone/>
            <wp:docPr id="1" name="image1.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true"/>
                    </pic:cNvPicPr>
                  </pic:nvPicPr>
                  <pic:blipFill>
                    <a:blip r:embed="rId6" cstate="print"/>
                    <a:stretch>
                      <a:fillRect/>
                    </a:stretch>
                  </pic:blipFill>
                  <pic:spPr>
                    <a:xfrm>
                      <a:off x="0" y="0"/>
                      <a:ext cx="3977363" cy="3953255"/>
                    </a:xfrm>
                    <a:prstGeom prst="rect">
                      <a:avLst/>
                    </a:prstGeom>
                  </pic:spPr>
                </pic:pic>
              </a:graphicData>
            </a:graphic>
          </wp:anchor>
        </w:drawing>
      </w:r>
      <w:r>
        <w:rPr>
          <w:b w:val="0"/>
          <w:bCs w:val="0"/>
          <w:spacing w:val="-11"/>
          <w:sz w:val="27"/>
          <w:szCs w:val="27"/>
        </w:rPr>
        <w:t>一、本人同意并不可撤销的授权贵行在办理涉及本人的信用卡业务</w:t>
      </w:r>
      <w:r>
        <w:rPr>
          <w:b w:val="0"/>
          <w:bCs w:val="0"/>
          <w:spacing w:val="-4"/>
          <w:w w:val="95"/>
          <w:sz w:val="27"/>
          <w:szCs w:val="27"/>
        </w:rPr>
        <w:t>时有权通过中国人民银行金融信用信息基础数据库</w:t>
      </w:r>
      <w:r>
        <w:rPr>
          <w:b/>
          <w:bCs/>
          <w:spacing w:val="-4"/>
          <w:w w:val="95"/>
          <w:sz w:val="27"/>
          <w:szCs w:val="27"/>
        </w:rPr>
        <w:t>查询、打印、使用、</w:t>
      </w:r>
      <w:r>
        <w:rPr>
          <w:b/>
          <w:bCs/>
          <w:spacing w:val="-8"/>
          <w:w w:val="95"/>
          <w:sz w:val="27"/>
          <w:szCs w:val="27"/>
        </w:rPr>
        <w:t>保存</w:t>
      </w:r>
      <w:r>
        <w:rPr>
          <w:b w:val="0"/>
          <w:bCs w:val="0"/>
          <w:spacing w:val="-8"/>
          <w:w w:val="95"/>
          <w:sz w:val="27"/>
          <w:szCs w:val="27"/>
        </w:rPr>
        <w:t>符合相关规定的</w:t>
      </w:r>
      <w:r>
        <w:rPr>
          <w:b/>
          <w:bCs/>
          <w:spacing w:val="-8"/>
          <w:w w:val="95"/>
          <w:sz w:val="27"/>
          <w:szCs w:val="27"/>
        </w:rPr>
        <w:t>本人征信报告、个人信息和包含信贷信息在内的信</w:t>
      </w:r>
      <w:r>
        <w:rPr>
          <w:b/>
          <w:bCs/>
          <w:spacing w:val="-8"/>
          <w:sz w:val="27"/>
          <w:szCs w:val="27"/>
        </w:rPr>
        <w:t>用信息及相关产品。</w:t>
      </w:r>
    </w:p>
    <w:p>
      <w:pPr>
        <w:pStyle w:val="3"/>
        <w:spacing w:before="54" w:line="271" w:lineRule="auto"/>
        <w:ind w:right="151"/>
        <w:jc w:val="both"/>
        <w:rPr>
          <w:b/>
          <w:bCs/>
          <w:sz w:val="27"/>
          <w:szCs w:val="27"/>
        </w:rPr>
      </w:pPr>
      <w:r>
        <w:rPr>
          <w:b w:val="0"/>
          <w:bCs w:val="0"/>
          <w:spacing w:val="-3"/>
          <w:w w:val="95"/>
          <w:sz w:val="27"/>
          <w:szCs w:val="27"/>
        </w:rPr>
        <w:t xml:space="preserve">二、本人同意并不可撤销的授权贵行按照国家相关规定采集并向金 </w:t>
      </w:r>
      <w:r>
        <w:rPr>
          <w:b w:val="0"/>
          <w:bCs w:val="0"/>
          <w:spacing w:val="6"/>
          <w:w w:val="95"/>
          <w:sz w:val="27"/>
          <w:szCs w:val="27"/>
        </w:rPr>
        <w:t>融信用信息基础数据库</w:t>
      </w:r>
      <w:r>
        <w:rPr>
          <w:b/>
          <w:bCs/>
          <w:spacing w:val="6"/>
          <w:w w:val="95"/>
          <w:sz w:val="27"/>
          <w:szCs w:val="27"/>
        </w:rPr>
        <w:t>报送</w:t>
      </w:r>
      <w:r>
        <w:rPr>
          <w:b w:val="0"/>
          <w:bCs w:val="0"/>
          <w:spacing w:val="6"/>
          <w:w w:val="95"/>
          <w:sz w:val="27"/>
          <w:szCs w:val="27"/>
        </w:rPr>
        <w:t>本人个人信息和包含信贷信息在内的信用</w:t>
      </w:r>
      <w:r>
        <w:rPr>
          <w:b w:val="0"/>
          <w:bCs w:val="0"/>
          <w:spacing w:val="3"/>
          <w:sz w:val="27"/>
          <w:szCs w:val="27"/>
        </w:rPr>
        <w:t>信息，</w:t>
      </w:r>
      <w:r>
        <w:rPr>
          <w:b/>
          <w:bCs/>
          <w:spacing w:val="3"/>
          <w:sz w:val="27"/>
          <w:szCs w:val="27"/>
        </w:rPr>
        <w:t>包含但不限于本人因未履行合同义务产生的不良信息。</w:t>
      </w:r>
    </w:p>
    <w:p>
      <w:pPr>
        <w:pStyle w:val="3"/>
        <w:spacing w:before="51" w:line="271" w:lineRule="auto"/>
        <w:ind w:right="151"/>
        <w:jc w:val="both"/>
        <w:rPr>
          <w:b/>
          <w:bCs/>
          <w:spacing w:val="3"/>
          <w:sz w:val="27"/>
          <w:szCs w:val="27"/>
        </w:rPr>
      </w:pPr>
      <w:r>
        <w:rPr>
          <w:b w:val="0"/>
          <w:bCs w:val="0"/>
          <w:spacing w:val="6"/>
          <w:w w:val="95"/>
          <w:sz w:val="27"/>
          <w:szCs w:val="27"/>
        </w:rPr>
        <w:t>三、本人同意并不可撤销的授权贵行</w:t>
      </w:r>
      <w:r>
        <w:rPr>
          <w:b/>
          <w:bCs/>
          <w:spacing w:val="6"/>
          <w:w w:val="95"/>
          <w:sz w:val="27"/>
          <w:szCs w:val="27"/>
        </w:rPr>
        <w:t xml:space="preserve">查询、收集、存储、加工、 </w:t>
      </w:r>
      <w:r>
        <w:rPr>
          <w:b/>
          <w:bCs/>
          <w:spacing w:val="7"/>
          <w:w w:val="95"/>
          <w:sz w:val="27"/>
          <w:szCs w:val="27"/>
        </w:rPr>
        <w:t>传输其他依法设立的机构或单位</w:t>
      </w:r>
      <w:r>
        <w:rPr>
          <w:b w:val="0"/>
          <w:bCs w:val="0"/>
          <w:spacing w:val="9"/>
          <w:w w:val="95"/>
          <w:sz w:val="27"/>
          <w:szCs w:val="27"/>
        </w:rPr>
        <w:t>（</w:t>
      </w:r>
      <w:r>
        <w:rPr>
          <w:b w:val="0"/>
          <w:bCs w:val="0"/>
          <w:spacing w:val="6"/>
          <w:w w:val="95"/>
          <w:sz w:val="27"/>
          <w:szCs w:val="27"/>
        </w:rPr>
        <w:t>包括但不限于</w:t>
      </w:r>
      <w:r>
        <w:rPr>
          <w:rFonts w:hint="eastAsia"/>
          <w:b w:val="0"/>
          <w:bCs w:val="0"/>
          <w:spacing w:val="6"/>
          <w:w w:val="95"/>
          <w:sz w:val="27"/>
          <w:szCs w:val="27"/>
          <w:lang w:eastAsia="zh-CN"/>
        </w:rPr>
        <w:t>百行征信有限公司或朴道征信有限公司及其他</w:t>
      </w:r>
      <w:r>
        <w:rPr>
          <w:b w:val="0"/>
          <w:bCs w:val="0"/>
          <w:spacing w:val="6"/>
          <w:w w:val="95"/>
          <w:sz w:val="27"/>
          <w:szCs w:val="27"/>
        </w:rPr>
        <w:t>依法设立的资信评估</w:t>
      </w:r>
      <w:r>
        <w:rPr>
          <w:b w:val="0"/>
          <w:bCs w:val="0"/>
          <w:spacing w:val="7"/>
          <w:w w:val="95"/>
          <w:sz w:val="27"/>
          <w:szCs w:val="27"/>
        </w:rPr>
        <w:t>机构或有关法律、监管机构许可的类似机构</w:t>
      </w:r>
      <w:r>
        <w:rPr>
          <w:b w:val="0"/>
          <w:bCs w:val="0"/>
          <w:spacing w:val="9"/>
          <w:w w:val="95"/>
          <w:sz w:val="27"/>
          <w:szCs w:val="27"/>
        </w:rPr>
        <w:t>）</w:t>
      </w:r>
      <w:r>
        <w:rPr>
          <w:b w:val="0"/>
          <w:bCs w:val="0"/>
          <w:spacing w:val="6"/>
          <w:w w:val="95"/>
          <w:sz w:val="27"/>
          <w:szCs w:val="27"/>
        </w:rPr>
        <w:t>、行政机关、事业单位</w:t>
      </w:r>
      <w:r>
        <w:rPr>
          <w:b w:val="0"/>
          <w:bCs w:val="0"/>
          <w:spacing w:val="9"/>
          <w:w w:val="95"/>
          <w:sz w:val="27"/>
          <w:szCs w:val="27"/>
        </w:rPr>
        <w:t>（</w:t>
      </w:r>
      <w:r>
        <w:rPr>
          <w:b w:val="0"/>
          <w:bCs w:val="0"/>
          <w:spacing w:val="7"/>
          <w:w w:val="95"/>
          <w:sz w:val="27"/>
          <w:szCs w:val="27"/>
        </w:rPr>
        <w:t>包括但不限于社会保障管理机构、住房公积金管理机构</w:t>
      </w:r>
      <w:r>
        <w:rPr>
          <w:b w:val="0"/>
          <w:bCs w:val="0"/>
          <w:spacing w:val="9"/>
          <w:w w:val="95"/>
          <w:sz w:val="27"/>
          <w:szCs w:val="27"/>
        </w:rPr>
        <w:t>）</w:t>
      </w:r>
      <w:r>
        <w:rPr>
          <w:b w:val="0"/>
          <w:bCs w:val="0"/>
          <w:spacing w:val="6"/>
          <w:w w:val="95"/>
          <w:sz w:val="27"/>
          <w:szCs w:val="27"/>
        </w:rPr>
        <w:t>、司法机关、电信运营商、中国银联股份有限公司银行卡风险信息共享系统及其他相关信用卡组织风险信息数据库等依法设立的机构、银行服务合</w:t>
      </w:r>
      <w:r>
        <w:rPr>
          <w:b w:val="0"/>
          <w:bCs w:val="0"/>
          <w:spacing w:val="8"/>
          <w:w w:val="95"/>
          <w:sz w:val="27"/>
          <w:szCs w:val="27"/>
        </w:rPr>
        <w:t>作方</w:t>
      </w:r>
      <w:r>
        <w:rPr>
          <w:b w:val="0"/>
          <w:bCs w:val="0"/>
          <w:spacing w:val="9"/>
          <w:w w:val="95"/>
          <w:sz w:val="27"/>
          <w:szCs w:val="27"/>
        </w:rPr>
        <w:t>（</w:t>
      </w:r>
      <w:r>
        <w:rPr>
          <w:b w:val="0"/>
          <w:bCs w:val="0"/>
          <w:spacing w:val="6"/>
          <w:w w:val="95"/>
          <w:sz w:val="27"/>
          <w:szCs w:val="27"/>
        </w:rPr>
        <w:t>包括向银行提供服务和支持的机构、联名信用卡合作方、其他为银行提供信用卡服务所必要的第三方征信机构或第三方数据服务合</w:t>
      </w:r>
      <w:r>
        <w:rPr>
          <w:b w:val="0"/>
          <w:bCs w:val="0"/>
          <w:spacing w:val="8"/>
          <w:w w:val="95"/>
          <w:sz w:val="27"/>
          <w:szCs w:val="27"/>
        </w:rPr>
        <w:t>作方等</w:t>
      </w:r>
      <w:r>
        <w:rPr>
          <w:b w:val="0"/>
          <w:bCs w:val="0"/>
          <w:spacing w:val="9"/>
          <w:w w:val="95"/>
          <w:sz w:val="27"/>
          <w:szCs w:val="27"/>
        </w:rPr>
        <w:t>）</w:t>
      </w:r>
      <w:r>
        <w:rPr>
          <w:b w:val="0"/>
          <w:bCs w:val="0"/>
          <w:spacing w:val="7"/>
          <w:w w:val="95"/>
          <w:sz w:val="27"/>
          <w:szCs w:val="27"/>
        </w:rPr>
        <w:t>提供的</w:t>
      </w:r>
      <w:r>
        <w:rPr>
          <w:b/>
          <w:bCs/>
          <w:spacing w:val="7"/>
          <w:w w:val="95"/>
          <w:sz w:val="27"/>
          <w:szCs w:val="27"/>
        </w:rPr>
        <w:t>个人信用信息、个人基本信息（</w:t>
      </w:r>
      <w:r>
        <w:rPr>
          <w:b/>
          <w:bCs/>
          <w:spacing w:val="6"/>
          <w:w w:val="95"/>
          <w:sz w:val="27"/>
          <w:szCs w:val="27"/>
        </w:rPr>
        <w:t>包括但不限于姓名、</w:t>
      </w:r>
      <w:r>
        <w:rPr>
          <w:b/>
          <w:bCs/>
          <w:spacing w:val="15"/>
          <w:w w:val="95"/>
          <w:sz w:val="27"/>
          <w:szCs w:val="27"/>
        </w:rPr>
        <w:t>身份证件号码、学历、职业、联系信息、通讯信息、</w:t>
      </w:r>
      <w:r>
        <w:rPr>
          <w:rFonts w:hint="eastAsia"/>
          <w:b/>
          <w:bCs/>
          <w:spacing w:val="15"/>
          <w:w w:val="95"/>
          <w:sz w:val="27"/>
          <w:szCs w:val="27"/>
          <w:lang w:eastAsia="zh-CN"/>
        </w:rPr>
        <w:t>身份核验信息</w:t>
      </w:r>
      <w:r>
        <w:rPr>
          <w:b/>
          <w:bCs/>
          <w:spacing w:val="9"/>
          <w:w w:val="95"/>
          <w:sz w:val="27"/>
          <w:szCs w:val="27"/>
        </w:rPr>
        <w:t>等</w:t>
      </w:r>
      <w:r>
        <w:rPr>
          <w:b/>
          <w:bCs/>
          <w:spacing w:val="7"/>
          <w:w w:val="95"/>
          <w:sz w:val="27"/>
          <w:szCs w:val="27"/>
        </w:rPr>
        <w:t>）</w:t>
      </w:r>
      <w:r>
        <w:rPr>
          <w:b/>
          <w:bCs/>
          <w:spacing w:val="6"/>
          <w:w w:val="95"/>
          <w:sz w:val="27"/>
          <w:szCs w:val="27"/>
        </w:rPr>
        <w:t>、航空出行信息、社保信息、公积金信息、税务信息、运营商信</w:t>
      </w:r>
      <w:r>
        <w:rPr>
          <w:b/>
          <w:bCs/>
          <w:spacing w:val="3"/>
          <w:sz w:val="27"/>
          <w:szCs w:val="27"/>
        </w:rPr>
        <w:t>息、位置信息、</w:t>
      </w:r>
      <w:r>
        <w:rPr>
          <w:rFonts w:hint="eastAsia"/>
          <w:b/>
          <w:bCs/>
          <w:spacing w:val="3"/>
          <w:sz w:val="27"/>
          <w:szCs w:val="27"/>
          <w:lang w:eastAsia="zh-CN"/>
        </w:rPr>
        <w:t>风险名单信息、多头类、行为分析类、</w:t>
      </w:r>
      <w:r>
        <w:rPr>
          <w:b/>
          <w:bCs/>
          <w:spacing w:val="3"/>
          <w:sz w:val="27"/>
          <w:szCs w:val="27"/>
        </w:rPr>
        <w:t>资产类信息及负债类信息等相关信息。</w:t>
      </w:r>
    </w:p>
    <w:p>
      <w:pPr>
        <w:pStyle w:val="3"/>
        <w:spacing w:before="51" w:line="271" w:lineRule="auto"/>
        <w:ind w:right="151"/>
        <w:jc w:val="both"/>
        <w:rPr>
          <w:b/>
          <w:bCs/>
          <w:spacing w:val="3"/>
          <w:sz w:val="27"/>
          <w:szCs w:val="27"/>
          <w:highlight w:val="none"/>
        </w:rPr>
      </w:pPr>
      <w:r>
        <w:rPr>
          <w:rFonts w:hint="eastAsia" w:ascii="宋体" w:hAnsi="宋体" w:cs="宋体"/>
          <w:sz w:val="24"/>
          <w:highlight w:val="none"/>
        </w:rPr>
        <w:t>四、</w:t>
      </w:r>
      <w:r>
        <w:rPr>
          <w:rFonts w:hint="eastAsia" w:ascii="宋体" w:hAnsi="宋体" w:cs="宋体"/>
          <w:b/>
          <w:bCs/>
          <w:sz w:val="24"/>
          <w:highlight w:val="none"/>
        </w:rPr>
        <w:t>本人知晓并同意，基于开展征信业务之处理目的和使用范围内，百行征信有限公司（联系方式：</w:t>
      </w:r>
      <w:r>
        <w:rPr>
          <w:rFonts w:ascii="宋体" w:hAnsi="宋体" w:cs="宋体"/>
          <w:b/>
          <w:bCs/>
          <w:sz w:val="24"/>
          <w:highlight w:val="none"/>
        </w:rPr>
        <w:t>bhcs@baihangcredit.com</w:t>
      </w:r>
      <w:r>
        <w:rPr>
          <w:rFonts w:hint="eastAsia" w:ascii="宋体" w:hAnsi="宋体" w:cs="宋体"/>
          <w:b/>
          <w:bCs/>
          <w:sz w:val="24"/>
          <w:highlight w:val="none"/>
        </w:rPr>
        <w:t>）或朴道征信有限公司（联系方式：</w:t>
      </w:r>
      <w:r>
        <w:rPr>
          <w:rFonts w:ascii="宋体" w:hAnsi="宋体" w:cs="宋体"/>
          <w:b/>
          <w:bCs/>
          <w:sz w:val="24"/>
          <w:highlight w:val="none"/>
        </w:rPr>
        <w:t xml:space="preserve">service@pudaocredit.cn </w:t>
      </w:r>
      <w:r>
        <w:rPr>
          <w:rFonts w:hint="eastAsia" w:ascii="宋体" w:hAnsi="宋体" w:cs="宋体"/>
          <w:b/>
          <w:bCs/>
          <w:sz w:val="24"/>
          <w:highlight w:val="none"/>
        </w:rPr>
        <w:t>）</w:t>
      </w:r>
      <w:r>
        <w:rPr>
          <w:rFonts w:ascii="宋体" w:hAnsi="宋体" w:cs="宋体"/>
          <w:b/>
          <w:bCs/>
          <w:sz w:val="24"/>
          <w:highlight w:val="none"/>
        </w:rPr>
        <w:t>可</w:t>
      </w:r>
      <w:r>
        <w:rPr>
          <w:rFonts w:hint="eastAsia" w:ascii="宋体" w:hAnsi="宋体" w:cs="宋体"/>
          <w:b/>
          <w:bCs/>
          <w:sz w:val="24"/>
          <w:highlight w:val="none"/>
        </w:rPr>
        <w:t>向合法留存本人信息的机构（包括贵行、互联网合作机构等）采集的本人信息进行存储、使用、加工、传输，并将采集的信息或信息处理结果提供给贵行使用。</w:t>
      </w:r>
      <w:bookmarkStart w:id="0" w:name="_GoBack"/>
      <w:bookmarkEnd w:id="0"/>
    </w:p>
    <w:p>
      <w:pPr>
        <w:pStyle w:val="3"/>
        <w:spacing w:line="271" w:lineRule="auto"/>
        <w:ind w:right="156"/>
        <w:rPr>
          <w:b w:val="0"/>
          <w:bCs w:val="0"/>
          <w:sz w:val="27"/>
        </w:rPr>
      </w:pPr>
      <w:r>
        <w:rPr>
          <w:rFonts w:hint="eastAsia"/>
          <w:b/>
          <w:bCs/>
          <w:spacing w:val="6"/>
          <w:w w:val="95"/>
          <w:sz w:val="27"/>
          <w:szCs w:val="27"/>
          <w:lang w:val="en-US" w:eastAsia="zh-CN"/>
        </w:rPr>
        <w:t>五</w:t>
      </w:r>
      <w:r>
        <w:rPr>
          <w:b/>
          <w:bCs/>
          <w:spacing w:val="6"/>
          <w:w w:val="95"/>
          <w:sz w:val="27"/>
          <w:szCs w:val="27"/>
        </w:rPr>
        <w:t>、</w:t>
      </w:r>
      <w:r>
        <w:rPr>
          <w:b w:val="0"/>
          <w:bCs w:val="0"/>
          <w:spacing w:val="6"/>
          <w:w w:val="95"/>
          <w:sz w:val="27"/>
          <w:szCs w:val="27"/>
        </w:rPr>
        <w:t>本人同意上述授权事项范围为本人向贵行申请办理的信用卡</w:t>
      </w:r>
      <w:r>
        <w:rPr>
          <w:b w:val="0"/>
          <w:bCs w:val="0"/>
          <w:spacing w:val="7"/>
          <w:w w:val="95"/>
          <w:sz w:val="27"/>
          <w:szCs w:val="27"/>
        </w:rPr>
        <w:t>业务，</w:t>
      </w:r>
      <w:r>
        <w:rPr>
          <w:b/>
          <w:bCs/>
          <w:spacing w:val="7"/>
          <w:w w:val="95"/>
          <w:sz w:val="27"/>
          <w:szCs w:val="27"/>
        </w:rPr>
        <w:t>包括但不限于信用卡批核</w:t>
      </w:r>
      <w:r>
        <w:rPr>
          <w:b/>
          <w:bCs/>
          <w:spacing w:val="9"/>
          <w:w w:val="95"/>
          <w:sz w:val="27"/>
          <w:szCs w:val="27"/>
        </w:rPr>
        <w:t>（</w:t>
      </w:r>
      <w:r>
        <w:rPr>
          <w:b/>
          <w:bCs/>
          <w:spacing w:val="7"/>
          <w:w w:val="95"/>
          <w:sz w:val="27"/>
          <w:szCs w:val="27"/>
        </w:rPr>
        <w:t>发卡、激活等业务）</w:t>
      </w:r>
      <w:r>
        <w:rPr>
          <w:b/>
          <w:bCs/>
          <w:spacing w:val="4"/>
          <w:w w:val="95"/>
          <w:sz w:val="27"/>
          <w:szCs w:val="27"/>
        </w:rPr>
        <w:t>及信用卡审批</w:t>
      </w:r>
      <w:r>
        <w:rPr>
          <w:b/>
          <w:bCs/>
          <w:w w:val="95"/>
          <w:sz w:val="27"/>
          <w:szCs w:val="27"/>
        </w:rPr>
        <w:t>（包括调额、分期、风险管控、交易审查等）、智能语音外呼（包括通知欠款信息等）、热线电话服务（查询欠款、交易及办理业务）等贷前、贷中和贷后审批与管理业务、异议核查等合法的用途范围内。</w:t>
      </w:r>
      <w:r>
        <w:rPr>
          <w:b w:val="0"/>
          <w:bCs w:val="0"/>
          <w:sz w:val="27"/>
        </w:rPr>
        <w:t>对于超出授权的一切后果及法律责任由晋商银行股份有限公司承担。</w:t>
      </w:r>
    </w:p>
    <w:p>
      <w:pPr>
        <w:pStyle w:val="3"/>
        <w:spacing w:before="2" w:line="268" w:lineRule="auto"/>
        <w:ind w:right="389"/>
      </w:pPr>
      <w:r>
        <w:rPr>
          <w:rFonts w:hint="eastAsia"/>
          <w:spacing w:val="-12"/>
          <w:w w:val="95"/>
          <w:lang w:eastAsia="zh-CN"/>
        </w:rPr>
        <w:t>六</w:t>
      </w:r>
      <w:r>
        <w:rPr>
          <w:spacing w:val="-12"/>
          <w:w w:val="95"/>
        </w:rPr>
        <w:t>、本授权书有效期自签署之日起至本人约定用途授信到期或业务</w:t>
      </w:r>
      <w:r>
        <w:rPr>
          <w:spacing w:val="-8"/>
        </w:rPr>
        <w:t>结清之日止。</w:t>
      </w:r>
    </w:p>
    <w:p>
      <w:pPr>
        <w:pStyle w:val="3"/>
        <w:spacing w:before="5" w:line="268" w:lineRule="auto"/>
        <w:ind w:right="389"/>
      </w:pPr>
      <w:r>
        <w:rPr>
          <w:rFonts w:hint="eastAsia"/>
          <w:spacing w:val="-12"/>
          <w:w w:val="95"/>
          <w:lang w:eastAsia="zh-CN"/>
        </w:rPr>
        <w:t>七</w:t>
      </w:r>
      <w:r>
        <w:rPr>
          <w:spacing w:val="-12"/>
          <w:w w:val="95"/>
        </w:rPr>
        <w:t>、本人同意贵行保留相关资料，无论信用卡是否批核及信用卡是</w:t>
      </w:r>
      <w:r>
        <w:rPr>
          <w:spacing w:val="-13"/>
        </w:rPr>
        <w:t>否终止使用，相关材料均不予退回。银行承诺对上述客户资料保密。</w:t>
      </w:r>
    </w:p>
    <w:p>
      <w:pPr>
        <w:pStyle w:val="3"/>
        <w:spacing w:before="2"/>
        <w:ind w:left="676" w:firstLine="0"/>
      </w:pPr>
      <w:r>
        <w:t>本人已知悉并理解授权条款内容，无异议，特此声明。</w:t>
      </w:r>
    </w:p>
    <w:p>
      <w:pPr>
        <w:pStyle w:val="3"/>
        <w:spacing w:before="4"/>
        <w:ind w:left="0" w:firstLine="0"/>
        <w:rPr>
          <w:sz w:val="28"/>
        </w:rPr>
      </w:pPr>
    </w:p>
    <w:p>
      <w:pPr>
        <w:tabs>
          <w:tab w:val="left" w:pos="3451"/>
        </w:tabs>
        <w:spacing w:before="0"/>
        <w:ind w:left="652" w:right="0" w:firstLine="0"/>
        <w:jc w:val="left"/>
        <w:rPr>
          <w:sz w:val="27"/>
        </w:rPr>
      </w:pPr>
      <w:r>
        <w:rPr>
          <w:sz w:val="27"/>
        </w:rPr>
        <w:t>授</w:t>
      </w:r>
      <w:r>
        <w:rPr>
          <w:spacing w:val="-3"/>
          <w:sz w:val="27"/>
        </w:rPr>
        <w:t>权</w:t>
      </w:r>
      <w:r>
        <w:rPr>
          <w:sz w:val="27"/>
        </w:rPr>
        <w:t>人：</w:t>
      </w:r>
      <w:r>
        <w:rPr>
          <w:sz w:val="27"/>
        </w:rPr>
        <w:tab/>
      </w:r>
      <w:r>
        <w:rPr>
          <w:sz w:val="27"/>
        </w:rPr>
        <w:t>授权人身份证号码：</w:t>
      </w:r>
    </w:p>
    <w:p>
      <w:pPr>
        <w:tabs>
          <w:tab w:val="left" w:pos="3451"/>
        </w:tabs>
        <w:spacing w:before="0"/>
        <w:ind w:left="652" w:right="0" w:firstLine="0"/>
        <w:jc w:val="right"/>
        <w:rPr>
          <w:sz w:val="27"/>
        </w:rPr>
      </w:pPr>
      <w:r>
        <w:rPr>
          <w:sz w:val="27"/>
        </w:rPr>
        <w:t>授权日期：</w:t>
      </w:r>
      <w:r>
        <w:rPr>
          <w:rFonts w:hint="eastAsia"/>
          <w:sz w:val="27"/>
          <w:lang w:val="en-US" w:eastAsia="zh-CN"/>
        </w:rPr>
        <w:t xml:space="preserve">      </w:t>
      </w:r>
      <w:r>
        <w:rPr>
          <w:sz w:val="27"/>
        </w:rPr>
        <w:t>年</w:t>
      </w:r>
      <w:r>
        <w:rPr>
          <w:sz w:val="27"/>
        </w:rPr>
        <w:tab/>
      </w:r>
      <w:r>
        <w:rPr>
          <w:rFonts w:hint="eastAsia"/>
          <w:sz w:val="27"/>
          <w:lang w:val="en-US" w:eastAsia="zh-CN"/>
        </w:rPr>
        <w:t xml:space="preserve">     </w:t>
      </w:r>
      <w:r>
        <w:rPr>
          <w:sz w:val="27"/>
        </w:rPr>
        <w:t>月</w:t>
      </w:r>
      <w:r>
        <w:rPr>
          <w:sz w:val="27"/>
        </w:rPr>
        <w:tab/>
      </w:r>
      <w:r>
        <w:rPr>
          <w:rFonts w:hint="eastAsia"/>
          <w:sz w:val="27"/>
          <w:lang w:val="en-US" w:eastAsia="zh-CN"/>
        </w:rPr>
        <w:t xml:space="preserve">     </w:t>
      </w:r>
      <w:r>
        <w:rPr>
          <w:sz w:val="27"/>
        </w:rPr>
        <w:t>日</w:t>
      </w:r>
    </w:p>
    <w:p>
      <w:pPr>
        <w:rPr>
          <w:sz w:val="34"/>
          <w:szCs w:val="34"/>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0000000000000000000"/>
    <w:charset w:val="00"/>
    <w:family w:val="auto"/>
    <w:pitch w:val="default"/>
    <w:sig w:usb0="00000000" w:usb1="00000000" w:usb2="00000000" w:usb3="00000000" w:csb0="0000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trackRevisions w:val="true"/>
  <w:documentProtection w:enforcement="0"/>
  <w:defaultTabStop w:val="420"/>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adjustLineHeightInTable/>
    <w:doNotBreakWrappedTables/>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F4FBB71"/>
    <w:rsid w:val="57EF28A5"/>
    <w:rsid w:val="6EFDD955"/>
    <w:rsid w:val="6FFC903F"/>
    <w:rsid w:val="797A976B"/>
    <w:rsid w:val="7FB9B25F"/>
    <w:rsid w:val="7FF50230"/>
    <w:rsid w:val="E7E18CE9"/>
    <w:rsid w:val="FBBCCC2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2">
    <w:name w:val="heading 2"/>
    <w:basedOn w:val="1"/>
    <w:next w:val="1"/>
    <w:unhideWhenUsed/>
    <w:qFormat/>
    <w:uiPriority w:val="0"/>
    <w:pPr>
      <w:spacing w:beforeAutospacing="1" w:after="0" w:afterAutospacing="1"/>
      <w:jc w:val="left"/>
    </w:pPr>
    <w:rPr>
      <w:rFonts w:hint="eastAsia" w:ascii="宋体" w:hAnsi="宋体" w:eastAsia="宋体" w:cs="宋体"/>
      <w:b/>
      <w:kern w:val="0"/>
      <w:sz w:val="36"/>
      <w:szCs w:val="36"/>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ind w:left="117" w:firstLine="559"/>
    </w:pPr>
    <w:rPr>
      <w:rFonts w:ascii="仿宋" w:hAnsi="仿宋" w:eastAsia="仿宋" w:cs="仿宋"/>
      <w:b/>
      <w:bCs/>
      <w:sz w:val="27"/>
      <w:szCs w:val="27"/>
      <w:lang w:val="zh-CN" w:eastAsia="zh-CN" w:bidi="zh-CN"/>
    </w:rPr>
  </w:style>
  <w:style w:type="paragraph" w:styleId="4">
    <w:name w:val="footer"/>
    <w:basedOn w:val="1"/>
    <w:qFormat/>
    <w:uiPriority w:val="0"/>
    <w:pPr>
      <w:tabs>
        <w:tab w:val="center" w:pos="4153"/>
        <w:tab w:val="right" w:pos="8306"/>
      </w:tabs>
      <w:snapToGrid w:val="0"/>
      <w:jc w:val="center"/>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center"/>
      <w:outlineLvl w:val="9"/>
    </w:pPr>
    <w:rPr>
      <w:sz w:val="18"/>
    </w:rPr>
  </w:style>
  <w:style w:type="paragraph" w:styleId="6">
    <w:name w:val="Normal (Web)"/>
    <w:basedOn w:val="1"/>
    <w:qFormat/>
    <w:uiPriority w:val="0"/>
    <w:pPr>
      <w:spacing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2024-05-13T01:49:00Z</dcterms:created>
  <dc:creator>Lyu</dc:creator>
  <cp:lastModifiedBy>周率</cp:lastModifiedBy>
  <cp:lastPrinted>2024-05-12T10:01:00Z</cp:lastPrinted>
  <dcterms:modified xsi:type="dcterms:W3CDTF">2024-05-31T09:39:53Z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83E258BB7AFF1C20A8CE3E6629BAE536_31</vt:lpwstr>
  </property>
</Properties>
</file>