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68" w:rsidRDefault="00175D68">
      <w:pPr>
        <w:spacing w:before="960" w:line="320" w:lineRule="exact"/>
        <w:jc w:val="center"/>
        <w:outlineLvl w:val="2"/>
        <w:rPr>
          <w:rFonts w:ascii="宋体" w:hAnsi="宋体"/>
          <w:b/>
          <w:w w:val="200"/>
        </w:rPr>
      </w:pPr>
      <w:bookmarkStart w:id="0" w:name="_GoBack"/>
      <w:bookmarkEnd w:id="0"/>
    </w:p>
    <w:p w:rsidR="00175D68" w:rsidRDefault="005D0F16">
      <w:pPr>
        <w:spacing w:before="960" w:line="620" w:lineRule="exact"/>
        <w:jc w:val="center"/>
        <w:outlineLvl w:val="2"/>
        <w:rPr>
          <w:rFonts w:ascii="宋体" w:hAnsi="宋体"/>
          <w:b/>
          <w:sz w:val="44"/>
        </w:rPr>
      </w:pPr>
      <w:bookmarkStart w:id="1" w:name="_Toc123701381"/>
      <w:bookmarkStart w:id="2" w:name="_Toc139992299"/>
      <w:bookmarkStart w:id="3" w:name="_Toc123112261"/>
      <w:bookmarkStart w:id="4" w:name="_Toc123112222"/>
      <w:bookmarkStart w:id="5" w:name="_Toc139991724"/>
      <w:r>
        <w:rPr>
          <w:rFonts w:ascii="宋体" w:hAnsi="宋体" w:hint="eastAsia"/>
          <w:b/>
          <w:sz w:val="44"/>
        </w:rPr>
        <w:t>华商高端装备制造股票型</w:t>
      </w:r>
      <w:r>
        <w:rPr>
          <w:rFonts w:ascii="宋体" w:hAnsi="宋体"/>
          <w:b/>
          <w:sz w:val="44"/>
        </w:rPr>
        <w:t>证券投资基金</w:t>
      </w:r>
      <w:bookmarkEnd w:id="1"/>
      <w:bookmarkEnd w:id="2"/>
      <w:bookmarkEnd w:id="3"/>
      <w:bookmarkEnd w:id="4"/>
      <w:bookmarkEnd w:id="5"/>
      <w:r>
        <w:rPr>
          <w:rFonts w:ascii="宋体" w:hAnsi="宋体" w:hint="eastAsia"/>
          <w:b/>
          <w:sz w:val="44"/>
        </w:rPr>
        <w:t xml:space="preserve">  </w:t>
      </w:r>
      <w:r>
        <w:rPr>
          <w:rFonts w:ascii="宋体" w:hAnsi="宋体" w:hint="eastAsia"/>
          <w:b/>
          <w:sz w:val="44"/>
        </w:rPr>
        <w:t>托管协议</w:t>
      </w:r>
    </w:p>
    <w:p w:rsidR="00175D68" w:rsidRDefault="00175D68">
      <w:pPr>
        <w:spacing w:before="960" w:line="620" w:lineRule="exact"/>
        <w:jc w:val="center"/>
        <w:outlineLvl w:val="2"/>
        <w:rPr>
          <w:rFonts w:ascii="宋体" w:hAnsi="宋体"/>
          <w:b/>
          <w:sz w:val="44"/>
        </w:rPr>
      </w:pPr>
    </w:p>
    <w:p w:rsidR="00175D68" w:rsidRDefault="00175D68">
      <w:pPr>
        <w:spacing w:before="960" w:line="620" w:lineRule="exact"/>
        <w:jc w:val="center"/>
        <w:outlineLvl w:val="2"/>
        <w:rPr>
          <w:rFonts w:ascii="宋体" w:hAnsi="宋体"/>
          <w:b/>
          <w:sz w:val="44"/>
        </w:rPr>
      </w:pPr>
    </w:p>
    <w:p w:rsidR="00175D68" w:rsidRDefault="00175D68">
      <w:pPr>
        <w:spacing w:line="320" w:lineRule="exact"/>
        <w:ind w:left="360" w:right="26"/>
        <w:jc w:val="center"/>
        <w:rPr>
          <w:rFonts w:ascii="宋体" w:hAnsi="宋体"/>
          <w:b/>
          <w:sz w:val="30"/>
        </w:rPr>
      </w:pPr>
    </w:p>
    <w:p w:rsidR="00175D68" w:rsidRDefault="005D0F16">
      <w:pPr>
        <w:spacing w:line="320" w:lineRule="exact"/>
        <w:ind w:left="479" w:right="26" w:firstLine="1200"/>
        <w:rPr>
          <w:rFonts w:ascii="宋体" w:hAnsi="宋体"/>
          <w:sz w:val="28"/>
          <w:szCs w:val="28"/>
        </w:rPr>
      </w:pPr>
      <w:r>
        <w:rPr>
          <w:rFonts w:ascii="宋体" w:hAnsi="宋体" w:hint="eastAsia"/>
          <w:sz w:val="28"/>
          <w:szCs w:val="28"/>
        </w:rPr>
        <w:t>基金管理人：华商基金管理有限公司</w:t>
      </w:r>
    </w:p>
    <w:p w:rsidR="00175D68" w:rsidRDefault="00175D68">
      <w:pPr>
        <w:spacing w:line="320" w:lineRule="exact"/>
        <w:ind w:left="359" w:right="26" w:firstLine="1200"/>
        <w:rPr>
          <w:rFonts w:ascii="宋体" w:hAnsi="宋体"/>
          <w:sz w:val="28"/>
          <w:szCs w:val="28"/>
        </w:rPr>
      </w:pPr>
    </w:p>
    <w:p w:rsidR="00175D68" w:rsidRDefault="005D0F16">
      <w:pPr>
        <w:spacing w:line="320" w:lineRule="exact"/>
        <w:ind w:left="479" w:right="26" w:firstLine="1200"/>
        <w:rPr>
          <w:rFonts w:ascii="宋体" w:hAnsi="宋体"/>
          <w:sz w:val="28"/>
          <w:szCs w:val="28"/>
        </w:rPr>
      </w:pPr>
      <w:r>
        <w:rPr>
          <w:rFonts w:ascii="宋体" w:hAnsi="宋体" w:hint="eastAsia"/>
          <w:sz w:val="28"/>
          <w:szCs w:val="28"/>
        </w:rPr>
        <w:t>基金托管人：中国银行股份有限公司</w:t>
      </w:r>
    </w:p>
    <w:p w:rsidR="00175D68" w:rsidRDefault="00175D68">
      <w:pPr>
        <w:spacing w:line="320" w:lineRule="exact"/>
        <w:ind w:right="26"/>
        <w:rPr>
          <w:rFonts w:ascii="宋体" w:hAnsi="宋体"/>
          <w:sz w:val="28"/>
          <w:szCs w:val="28"/>
        </w:rPr>
      </w:pPr>
    </w:p>
    <w:p w:rsidR="00175D68" w:rsidRDefault="00175D68">
      <w:pPr>
        <w:spacing w:line="320" w:lineRule="exact"/>
        <w:ind w:right="26"/>
        <w:rPr>
          <w:rFonts w:ascii="宋体" w:hAnsi="宋体"/>
          <w:sz w:val="28"/>
          <w:szCs w:val="28"/>
        </w:rPr>
      </w:pPr>
    </w:p>
    <w:p w:rsidR="00175D68" w:rsidRDefault="00175D68">
      <w:pPr>
        <w:spacing w:line="320" w:lineRule="exact"/>
        <w:ind w:right="26"/>
        <w:jc w:val="center"/>
        <w:rPr>
          <w:rFonts w:ascii="宋体" w:hAnsi="宋体"/>
          <w:sz w:val="28"/>
          <w:szCs w:val="28"/>
        </w:rPr>
      </w:pPr>
    </w:p>
    <w:p w:rsidR="00175D68" w:rsidRDefault="00175D68">
      <w:pPr>
        <w:spacing w:line="320" w:lineRule="exact"/>
        <w:ind w:right="26"/>
        <w:jc w:val="center"/>
        <w:rPr>
          <w:rFonts w:ascii="宋体" w:hAnsi="宋体"/>
          <w:sz w:val="28"/>
          <w:szCs w:val="28"/>
        </w:rPr>
      </w:pPr>
    </w:p>
    <w:p w:rsidR="00175D68" w:rsidRDefault="00175D68">
      <w:pPr>
        <w:spacing w:line="320" w:lineRule="exact"/>
        <w:ind w:right="26"/>
        <w:jc w:val="center"/>
        <w:rPr>
          <w:rFonts w:ascii="宋体" w:hAnsi="宋体"/>
          <w:sz w:val="28"/>
          <w:szCs w:val="28"/>
        </w:rPr>
      </w:pPr>
    </w:p>
    <w:p w:rsidR="00175D68" w:rsidRDefault="00175D68">
      <w:pPr>
        <w:spacing w:line="320" w:lineRule="exact"/>
        <w:ind w:right="26"/>
        <w:jc w:val="center"/>
        <w:rPr>
          <w:rFonts w:ascii="宋体" w:hAnsi="宋体"/>
          <w:sz w:val="28"/>
          <w:szCs w:val="28"/>
        </w:rPr>
      </w:pPr>
    </w:p>
    <w:p w:rsidR="00175D68" w:rsidRDefault="00175D68">
      <w:pPr>
        <w:spacing w:line="320" w:lineRule="exact"/>
        <w:ind w:right="26"/>
        <w:jc w:val="center"/>
        <w:rPr>
          <w:rFonts w:ascii="宋体" w:hAnsi="宋体"/>
          <w:sz w:val="28"/>
          <w:szCs w:val="28"/>
        </w:rPr>
      </w:pPr>
    </w:p>
    <w:p w:rsidR="00175D68" w:rsidRDefault="005D0F16">
      <w:pPr>
        <w:spacing w:line="320" w:lineRule="exact"/>
        <w:ind w:right="26"/>
        <w:jc w:val="center"/>
        <w:rPr>
          <w:rFonts w:ascii="宋体" w:hAnsi="宋体"/>
          <w:sz w:val="28"/>
          <w:szCs w:val="28"/>
        </w:rPr>
      </w:pPr>
      <w:r>
        <w:rPr>
          <w:rFonts w:ascii="宋体" w:hAnsi="宋体" w:hint="eastAsia"/>
          <w:sz w:val="28"/>
          <w:szCs w:val="28"/>
        </w:rPr>
        <w:t>二○一九年十一月</w:t>
      </w:r>
    </w:p>
    <w:p w:rsidR="00175D68" w:rsidRDefault="005D0F16">
      <w:pPr>
        <w:tabs>
          <w:tab w:val="left" w:pos="0"/>
        </w:tabs>
        <w:spacing w:before="100" w:beforeAutospacing="1" w:after="100" w:afterAutospacing="1" w:line="400" w:lineRule="exact"/>
        <w:ind w:right="26" w:firstLineChars="200" w:firstLine="422"/>
        <w:outlineLvl w:val="0"/>
        <w:rPr>
          <w:rFonts w:ascii="宋体" w:hAnsi="宋体"/>
          <w:szCs w:val="21"/>
        </w:rPr>
      </w:pPr>
      <w:r>
        <w:rPr>
          <w:rFonts w:ascii="宋体" w:hAnsi="宋体"/>
          <w:b/>
        </w:rPr>
        <w:br w:type="page"/>
      </w:r>
      <w:r>
        <w:rPr>
          <w:rFonts w:ascii="宋体" w:hAnsi="宋体" w:hint="eastAsia"/>
          <w:b/>
          <w:sz w:val="24"/>
        </w:rPr>
        <w:lastRenderedPageBreak/>
        <w:t xml:space="preserve"> </w:t>
      </w:r>
      <w:r>
        <w:rPr>
          <w:rFonts w:ascii="宋体" w:hAnsi="宋体" w:hint="eastAsia"/>
          <w:szCs w:val="21"/>
        </w:rPr>
        <w:t>鉴于华商基金管理有限公司是一家依照中国法律合法成立并有效存续的有限责任公司，按照相关法律法规的规定具备担任基金管理人的资格和能力；</w:t>
      </w:r>
    </w:p>
    <w:p w:rsidR="00175D68" w:rsidRDefault="005D0F16">
      <w:pPr>
        <w:pStyle w:val="aa"/>
        <w:spacing w:before="100" w:beforeAutospacing="1" w:after="100" w:afterAutospacing="1" w:line="400" w:lineRule="exact"/>
        <w:ind w:firstLine="549"/>
        <w:rPr>
          <w:rFonts w:hAnsi="宋体"/>
        </w:rPr>
      </w:pPr>
      <w:r>
        <w:rPr>
          <w:rFonts w:hAnsi="宋体" w:hint="eastAsia"/>
        </w:rPr>
        <w:t>鉴于中国银行股份有限公司是一家依照中国法律合法成立并有效存续的银行，按照相关法律法规的规定具备担任基金托管人的资格和能力；</w:t>
      </w:r>
    </w:p>
    <w:p w:rsidR="00175D68" w:rsidRDefault="005D0F16">
      <w:pPr>
        <w:pStyle w:val="aa"/>
        <w:spacing w:before="100" w:beforeAutospacing="1" w:after="100" w:afterAutospacing="1" w:line="400" w:lineRule="exact"/>
        <w:ind w:firstLine="549"/>
        <w:rPr>
          <w:rFonts w:hAnsi="宋体"/>
        </w:rPr>
      </w:pPr>
      <w:r>
        <w:rPr>
          <w:rFonts w:hAnsi="宋体" w:hint="eastAsia"/>
        </w:rPr>
        <w:t>鉴于华商基金管理有限公司拟担任</w:t>
      </w:r>
      <w:r>
        <w:rPr>
          <w:rFonts w:ascii="Times New Roman" w:hAnsi="宋体" w:hint="eastAsia"/>
        </w:rPr>
        <w:t>华商高端装备制造股票型</w:t>
      </w:r>
      <w:r>
        <w:rPr>
          <w:rFonts w:hAnsi="宋体" w:hint="eastAsia"/>
        </w:rPr>
        <w:t>证券投资基金的基金管理人，中国银行股份有限公司拟担任</w:t>
      </w:r>
      <w:r>
        <w:rPr>
          <w:rFonts w:ascii="Times New Roman" w:hAnsi="宋体" w:hint="eastAsia"/>
        </w:rPr>
        <w:t>华商高端装备制造股票型</w:t>
      </w:r>
      <w:r>
        <w:rPr>
          <w:rFonts w:hAnsi="宋体" w:hint="eastAsia"/>
        </w:rPr>
        <w:t>证券投资基金的基金托管人；</w:t>
      </w:r>
    </w:p>
    <w:p w:rsidR="00175D68" w:rsidRDefault="005D0F16">
      <w:pPr>
        <w:pStyle w:val="aa"/>
        <w:spacing w:before="100" w:beforeAutospacing="1" w:after="100" w:afterAutospacing="1" w:line="400" w:lineRule="exact"/>
        <w:ind w:firstLine="549"/>
        <w:rPr>
          <w:rFonts w:hAnsi="宋体"/>
        </w:rPr>
      </w:pPr>
      <w:r>
        <w:rPr>
          <w:rFonts w:hAnsi="宋体" w:hint="eastAsia"/>
        </w:rPr>
        <w:t>为明确</w:t>
      </w:r>
      <w:r>
        <w:rPr>
          <w:rFonts w:ascii="Times New Roman" w:hAnsi="宋体" w:hint="eastAsia"/>
        </w:rPr>
        <w:t>华商高端装备制造股票型</w:t>
      </w:r>
      <w:r>
        <w:rPr>
          <w:rFonts w:hAnsi="宋体" w:hint="eastAsia"/>
        </w:rPr>
        <w:t>证券投资基金基金管理人和基金托管人之间的权利义务关系，特制订本协议。</w:t>
      </w:r>
      <w:bookmarkStart w:id="6" w:name="_Toc30230313"/>
    </w:p>
    <w:p w:rsidR="00175D68" w:rsidRDefault="00175D68">
      <w:pPr>
        <w:pStyle w:val="aa"/>
        <w:spacing w:before="100" w:beforeAutospacing="1" w:after="100" w:afterAutospacing="1" w:line="400" w:lineRule="exact"/>
        <w:ind w:firstLine="549"/>
        <w:rPr>
          <w:rFonts w:hAnsi="宋体"/>
        </w:rPr>
      </w:pPr>
    </w:p>
    <w:p w:rsidR="00175D68" w:rsidRDefault="005D0F16">
      <w:pPr>
        <w:pStyle w:val="1"/>
        <w:spacing w:before="100" w:beforeAutospacing="1" w:after="100" w:afterAutospacing="1" w:line="400" w:lineRule="exact"/>
        <w:ind w:firstLine="422"/>
        <w:rPr>
          <w:rFonts w:ascii="宋体" w:hAnsi="宋体"/>
          <w:sz w:val="21"/>
          <w:szCs w:val="21"/>
        </w:rPr>
      </w:pPr>
      <w:bookmarkStart w:id="7" w:name="_Toc116900096"/>
      <w:r>
        <w:rPr>
          <w:rFonts w:ascii="宋体" w:hAnsi="宋体" w:hint="eastAsia"/>
          <w:sz w:val="21"/>
          <w:szCs w:val="21"/>
        </w:rPr>
        <w:t>一、托管协议当事人</w:t>
      </w:r>
      <w:bookmarkEnd w:id="6"/>
      <w:bookmarkEnd w:id="7"/>
    </w:p>
    <w:p w:rsidR="00175D68" w:rsidRDefault="005D0F16">
      <w:pPr>
        <w:pStyle w:val="aa"/>
        <w:spacing w:before="100" w:beforeAutospacing="1" w:after="100" w:afterAutospacing="1" w:line="400" w:lineRule="exact"/>
        <w:ind w:firstLine="403"/>
        <w:rPr>
          <w:rFonts w:hAnsi="宋体"/>
        </w:rPr>
      </w:pPr>
      <w:r>
        <w:rPr>
          <w:rFonts w:hAnsi="宋体" w:hint="eastAsia"/>
        </w:rPr>
        <w:t>（一）基金管理人（或简称“管理人”）</w:t>
      </w:r>
    </w:p>
    <w:p w:rsidR="00175D68" w:rsidRDefault="005D0F16">
      <w:pPr>
        <w:spacing w:before="100" w:beforeAutospacing="1" w:after="100" w:afterAutospacing="1" w:line="400" w:lineRule="exact"/>
        <w:ind w:right="26" w:firstLine="403"/>
        <w:rPr>
          <w:rFonts w:ascii="宋体" w:hAnsi="宋体"/>
          <w:szCs w:val="21"/>
        </w:rPr>
      </w:pPr>
      <w:r>
        <w:rPr>
          <w:rFonts w:ascii="宋体" w:hAnsi="宋体" w:hint="eastAsia"/>
          <w:szCs w:val="21"/>
        </w:rPr>
        <w:t>名称：华商基金管理有限公司</w:t>
      </w:r>
    </w:p>
    <w:p w:rsidR="00175D68" w:rsidRDefault="005D0F16">
      <w:pPr>
        <w:spacing w:before="100" w:beforeAutospacing="1" w:after="100" w:afterAutospacing="1" w:line="400" w:lineRule="exact"/>
        <w:ind w:right="26" w:firstLine="403"/>
        <w:rPr>
          <w:rFonts w:ascii="宋体" w:hAnsi="宋体"/>
          <w:szCs w:val="21"/>
        </w:rPr>
      </w:pPr>
      <w:r>
        <w:rPr>
          <w:rFonts w:ascii="宋体" w:hAnsi="宋体" w:hint="eastAsia"/>
          <w:szCs w:val="21"/>
        </w:rPr>
        <w:t>住所：北京市西城区平安里西大街</w:t>
      </w:r>
      <w:r>
        <w:rPr>
          <w:rFonts w:ascii="宋体" w:hAnsi="宋体" w:hint="eastAsia"/>
          <w:szCs w:val="21"/>
        </w:rPr>
        <w:t>28</w:t>
      </w:r>
      <w:r>
        <w:rPr>
          <w:rFonts w:ascii="宋体" w:hAnsi="宋体" w:hint="eastAsia"/>
          <w:szCs w:val="21"/>
        </w:rPr>
        <w:t>号楼</w:t>
      </w:r>
      <w:r>
        <w:rPr>
          <w:rFonts w:ascii="宋体" w:hAnsi="宋体" w:hint="eastAsia"/>
          <w:szCs w:val="21"/>
        </w:rPr>
        <w:t>19</w:t>
      </w:r>
      <w:r>
        <w:rPr>
          <w:rFonts w:ascii="宋体" w:hAnsi="宋体" w:hint="eastAsia"/>
          <w:szCs w:val="21"/>
        </w:rPr>
        <w:t>层</w:t>
      </w:r>
    </w:p>
    <w:p w:rsidR="00175D68" w:rsidRDefault="005D0F16">
      <w:pPr>
        <w:spacing w:before="100" w:beforeAutospacing="1" w:after="100" w:afterAutospacing="1" w:line="400" w:lineRule="exact"/>
        <w:ind w:right="26" w:firstLine="403"/>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陈牧原</w:t>
      </w:r>
    </w:p>
    <w:p w:rsidR="00175D68" w:rsidRDefault="005D0F16">
      <w:pPr>
        <w:spacing w:before="100" w:beforeAutospacing="1" w:after="100" w:afterAutospacing="1" w:line="400" w:lineRule="exact"/>
        <w:ind w:right="26" w:firstLine="403"/>
        <w:rPr>
          <w:rFonts w:ascii="宋体" w:hAnsi="宋体"/>
          <w:szCs w:val="21"/>
        </w:rPr>
      </w:pPr>
      <w:r>
        <w:rPr>
          <w:rFonts w:ascii="宋体" w:hAnsi="宋体" w:hint="eastAsia"/>
          <w:szCs w:val="21"/>
        </w:rPr>
        <w:t>成立时间：</w:t>
      </w:r>
      <w:r>
        <w:rPr>
          <w:rFonts w:ascii="宋体" w:hAnsi="宋体" w:hint="eastAsia"/>
          <w:szCs w:val="21"/>
        </w:rPr>
        <w:t>2005</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20</w:t>
      </w:r>
      <w:r>
        <w:rPr>
          <w:rFonts w:ascii="宋体" w:hAnsi="宋体" w:hint="eastAsia"/>
          <w:szCs w:val="21"/>
        </w:rPr>
        <w:t>日</w:t>
      </w:r>
    </w:p>
    <w:p w:rsidR="00175D68" w:rsidRDefault="005D0F16">
      <w:pPr>
        <w:spacing w:before="100" w:beforeAutospacing="1" w:after="100" w:afterAutospacing="1" w:line="400" w:lineRule="exact"/>
        <w:ind w:right="26" w:firstLine="403"/>
        <w:rPr>
          <w:rFonts w:ascii="宋体" w:hAnsi="宋体"/>
          <w:szCs w:val="21"/>
        </w:rPr>
      </w:pPr>
      <w:r>
        <w:rPr>
          <w:rFonts w:ascii="宋体" w:hAnsi="宋体" w:hint="eastAsia"/>
          <w:szCs w:val="21"/>
        </w:rPr>
        <w:t>批准设立机关：中国证券监督管理委员会</w:t>
      </w:r>
    </w:p>
    <w:p w:rsidR="00175D68" w:rsidRDefault="005D0F16">
      <w:pPr>
        <w:spacing w:before="100" w:beforeAutospacing="1" w:after="100" w:afterAutospacing="1" w:line="400" w:lineRule="exact"/>
        <w:ind w:right="26" w:firstLine="403"/>
        <w:rPr>
          <w:rFonts w:ascii="宋体" w:hAnsi="宋体"/>
          <w:szCs w:val="21"/>
        </w:rPr>
      </w:pPr>
      <w:r>
        <w:rPr>
          <w:rFonts w:ascii="宋体" w:hAnsi="宋体" w:hint="eastAsia"/>
          <w:szCs w:val="21"/>
        </w:rPr>
        <w:t>批准设立文号：证监基金字【</w:t>
      </w:r>
      <w:r>
        <w:rPr>
          <w:rFonts w:ascii="宋体" w:hAnsi="宋体" w:hint="eastAsia"/>
          <w:szCs w:val="21"/>
        </w:rPr>
        <w:t>2005</w:t>
      </w:r>
      <w:r>
        <w:rPr>
          <w:rFonts w:ascii="宋体" w:hAnsi="宋体" w:hint="eastAsia"/>
          <w:szCs w:val="21"/>
        </w:rPr>
        <w:t>】</w:t>
      </w:r>
      <w:r>
        <w:rPr>
          <w:rFonts w:ascii="宋体" w:hAnsi="宋体" w:hint="eastAsia"/>
          <w:szCs w:val="21"/>
        </w:rPr>
        <w:t>160</w:t>
      </w:r>
      <w:r>
        <w:rPr>
          <w:rFonts w:ascii="宋体" w:hAnsi="宋体" w:hint="eastAsia"/>
          <w:szCs w:val="21"/>
        </w:rPr>
        <w:t>号</w:t>
      </w:r>
    </w:p>
    <w:p w:rsidR="00175D68" w:rsidRDefault="005D0F16">
      <w:pPr>
        <w:spacing w:before="100" w:beforeAutospacing="1" w:after="100" w:afterAutospacing="1" w:line="400" w:lineRule="exact"/>
        <w:ind w:right="26" w:firstLine="403"/>
        <w:rPr>
          <w:rFonts w:ascii="宋体" w:hAnsi="宋体"/>
          <w:szCs w:val="21"/>
        </w:rPr>
      </w:pPr>
      <w:r>
        <w:rPr>
          <w:rFonts w:ascii="宋体" w:hAnsi="宋体" w:hint="eastAsia"/>
          <w:szCs w:val="21"/>
        </w:rPr>
        <w:t>组织形式：</w:t>
      </w:r>
      <w:r>
        <w:rPr>
          <w:rFonts w:ascii="宋体" w:hAnsi="宋体" w:hint="eastAsia"/>
          <w:szCs w:val="21"/>
        </w:rPr>
        <w:tab/>
      </w:r>
      <w:r>
        <w:rPr>
          <w:rFonts w:ascii="宋体" w:hAnsi="宋体" w:hint="eastAsia"/>
          <w:szCs w:val="21"/>
        </w:rPr>
        <w:t>其他有限责任公司</w:t>
      </w:r>
    </w:p>
    <w:p w:rsidR="00175D68" w:rsidRDefault="005D0F16">
      <w:pPr>
        <w:spacing w:before="100" w:beforeAutospacing="1" w:after="100" w:afterAutospacing="1" w:line="400" w:lineRule="exact"/>
        <w:ind w:right="26" w:firstLine="403"/>
        <w:rPr>
          <w:rFonts w:ascii="宋体" w:hAnsi="宋体"/>
          <w:szCs w:val="21"/>
        </w:rPr>
      </w:pPr>
      <w:r>
        <w:rPr>
          <w:rFonts w:ascii="宋体" w:hAnsi="宋体" w:hint="eastAsia"/>
          <w:szCs w:val="21"/>
        </w:rPr>
        <w:t>注册资本：</w:t>
      </w:r>
      <w:r>
        <w:rPr>
          <w:rFonts w:ascii="宋体" w:hAnsi="宋体" w:hint="eastAsia"/>
          <w:szCs w:val="21"/>
        </w:rPr>
        <w:tab/>
      </w:r>
      <w:r>
        <w:rPr>
          <w:rFonts w:ascii="宋体" w:hAnsi="宋体" w:hint="eastAsia"/>
          <w:szCs w:val="21"/>
        </w:rPr>
        <w:t>壹亿元人民币</w:t>
      </w:r>
    </w:p>
    <w:p w:rsidR="00175D68" w:rsidRDefault="005D0F16">
      <w:pPr>
        <w:spacing w:before="100" w:beforeAutospacing="1" w:after="100" w:afterAutospacing="1" w:line="400" w:lineRule="exact"/>
        <w:ind w:right="26" w:firstLine="403"/>
        <w:rPr>
          <w:rFonts w:ascii="宋体" w:hAnsi="宋体"/>
          <w:szCs w:val="21"/>
          <w:u w:val="single"/>
        </w:rPr>
      </w:pPr>
      <w:r>
        <w:rPr>
          <w:rFonts w:ascii="宋体" w:hAnsi="宋体" w:hint="eastAsia"/>
          <w:szCs w:val="21"/>
        </w:rPr>
        <w:t>经营范围：</w:t>
      </w:r>
      <w:r>
        <w:rPr>
          <w:rFonts w:ascii="宋体" w:hAnsi="宋体" w:hint="eastAsia"/>
          <w:szCs w:val="21"/>
        </w:rPr>
        <w:tab/>
      </w:r>
      <w:r>
        <w:rPr>
          <w:rFonts w:ascii="宋体" w:hAnsi="宋体" w:hint="eastAsia"/>
          <w:szCs w:val="21"/>
        </w:rPr>
        <w:t>基金募集；基金销售；资产管理和中国证监会许可的其他业务。</w:t>
      </w:r>
    </w:p>
    <w:p w:rsidR="00175D68" w:rsidRDefault="005D0F16">
      <w:pPr>
        <w:pStyle w:val="aa"/>
        <w:spacing w:before="100" w:beforeAutospacing="1" w:after="100" w:afterAutospacing="1" w:line="400" w:lineRule="exact"/>
        <w:ind w:firstLine="403"/>
        <w:rPr>
          <w:rFonts w:hAnsi="宋体"/>
        </w:rPr>
      </w:pPr>
      <w:r>
        <w:rPr>
          <w:rFonts w:hAnsi="宋体" w:hint="eastAsia"/>
        </w:rPr>
        <w:t>存续期间：</w:t>
      </w:r>
      <w:r>
        <w:rPr>
          <w:rFonts w:hAnsi="宋体" w:hint="eastAsia"/>
        </w:rPr>
        <w:tab/>
      </w:r>
      <w:r>
        <w:rPr>
          <w:rFonts w:hAnsi="宋体" w:hint="eastAsia"/>
        </w:rPr>
        <w:t>持续经营</w:t>
      </w:r>
    </w:p>
    <w:p w:rsidR="00175D68" w:rsidRDefault="00175D68">
      <w:pPr>
        <w:pStyle w:val="aa"/>
        <w:spacing w:before="100" w:beforeAutospacing="1" w:after="100" w:afterAutospacing="1" w:line="400" w:lineRule="exact"/>
        <w:ind w:firstLine="403"/>
        <w:rPr>
          <w:rFonts w:hAnsi="宋体"/>
        </w:rPr>
      </w:pPr>
    </w:p>
    <w:p w:rsidR="00175D68" w:rsidRDefault="005D0F16">
      <w:pPr>
        <w:pStyle w:val="aa"/>
        <w:spacing w:before="100" w:beforeAutospacing="1" w:after="100" w:afterAutospacing="1" w:line="400" w:lineRule="exact"/>
        <w:ind w:firstLine="403"/>
        <w:rPr>
          <w:rFonts w:hAnsi="宋体"/>
        </w:rPr>
      </w:pPr>
      <w:r>
        <w:rPr>
          <w:rFonts w:hAnsi="宋体" w:hint="eastAsia"/>
        </w:rPr>
        <w:lastRenderedPageBreak/>
        <w:t>（二）基金托管人（或简称“托管人”）</w:t>
      </w:r>
    </w:p>
    <w:p w:rsidR="00175D68" w:rsidRDefault="005D0F16">
      <w:pPr>
        <w:spacing w:before="100" w:beforeAutospacing="1" w:after="100" w:afterAutospacing="1" w:line="400" w:lineRule="exact"/>
        <w:ind w:right="26" w:firstLine="403"/>
        <w:rPr>
          <w:rFonts w:ascii="宋体" w:hAnsi="宋体"/>
          <w:szCs w:val="21"/>
        </w:rPr>
      </w:pPr>
      <w:r>
        <w:rPr>
          <w:rFonts w:ascii="宋体" w:hAnsi="宋体" w:hint="eastAsia"/>
          <w:szCs w:val="21"/>
        </w:rPr>
        <w:t>名称：中国银行股份有限公司</w:t>
      </w:r>
    </w:p>
    <w:p w:rsidR="00175D68" w:rsidRDefault="005D0F16">
      <w:pPr>
        <w:spacing w:before="100" w:beforeAutospacing="1" w:after="100" w:afterAutospacing="1" w:line="400" w:lineRule="exact"/>
        <w:ind w:right="26" w:firstLine="403"/>
        <w:rPr>
          <w:rFonts w:ascii="宋体" w:hAnsi="宋体"/>
          <w:szCs w:val="21"/>
        </w:rPr>
      </w:pPr>
      <w:r>
        <w:rPr>
          <w:rFonts w:ascii="宋体" w:hAnsi="宋体" w:hint="eastAsia"/>
          <w:szCs w:val="21"/>
        </w:rPr>
        <w:t>住所：北京市西城区复兴门内大街</w:t>
      </w:r>
      <w:r>
        <w:rPr>
          <w:rFonts w:ascii="宋体" w:hAnsi="宋体" w:hint="eastAsia"/>
          <w:szCs w:val="21"/>
        </w:rPr>
        <w:t>1</w:t>
      </w:r>
      <w:r>
        <w:rPr>
          <w:rFonts w:ascii="宋体" w:hAnsi="宋体" w:hint="eastAsia"/>
          <w:szCs w:val="21"/>
        </w:rPr>
        <w:t>号</w:t>
      </w:r>
    </w:p>
    <w:p w:rsidR="00175D68" w:rsidRDefault="005D0F16">
      <w:pPr>
        <w:spacing w:before="100" w:beforeAutospacing="1" w:after="100" w:afterAutospacing="1" w:line="400" w:lineRule="exact"/>
        <w:ind w:right="26" w:firstLine="403"/>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刘连舸</w:t>
      </w:r>
    </w:p>
    <w:p w:rsidR="00175D68" w:rsidRDefault="005D0F16">
      <w:pPr>
        <w:spacing w:before="100" w:beforeAutospacing="1" w:after="100" w:afterAutospacing="1" w:line="400" w:lineRule="exact"/>
        <w:ind w:firstLine="435"/>
        <w:rPr>
          <w:rFonts w:ascii="宋体" w:hAnsi="宋体"/>
          <w:kern w:val="0"/>
          <w:szCs w:val="21"/>
        </w:rPr>
      </w:pPr>
      <w:r>
        <w:rPr>
          <w:rFonts w:ascii="宋体" w:hAnsi="宋体" w:hint="eastAsia"/>
          <w:szCs w:val="21"/>
        </w:rPr>
        <w:t>成立时间：</w:t>
      </w:r>
      <w:r>
        <w:rPr>
          <w:rFonts w:ascii="宋体" w:hAnsi="宋体" w:hint="eastAsia"/>
          <w:szCs w:val="21"/>
        </w:rPr>
        <w:t xml:space="preserve">  1983</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31</w:t>
      </w:r>
      <w:r>
        <w:rPr>
          <w:rFonts w:ascii="宋体" w:hAnsi="宋体" w:hint="eastAsia"/>
          <w:szCs w:val="21"/>
        </w:rPr>
        <w:t>日</w:t>
      </w:r>
    </w:p>
    <w:p w:rsidR="00175D68" w:rsidRDefault="005D0F16">
      <w:pPr>
        <w:spacing w:before="100" w:beforeAutospacing="1" w:after="100" w:afterAutospacing="1" w:line="400" w:lineRule="exact"/>
        <w:ind w:firstLine="420"/>
        <w:rPr>
          <w:rFonts w:ascii="宋体" w:hAnsi="宋体"/>
          <w:szCs w:val="21"/>
        </w:rPr>
      </w:pPr>
      <w:r>
        <w:rPr>
          <w:rFonts w:ascii="宋体" w:hAnsi="宋体" w:hint="eastAsia"/>
          <w:kern w:val="0"/>
          <w:szCs w:val="21"/>
        </w:rPr>
        <w:t>基金托管业务批准文号：中国证监会证监基字【</w:t>
      </w:r>
      <w:r>
        <w:rPr>
          <w:rFonts w:ascii="宋体" w:hAnsi="宋体" w:hint="eastAsia"/>
          <w:kern w:val="0"/>
          <w:szCs w:val="21"/>
        </w:rPr>
        <w:t>1998</w:t>
      </w:r>
      <w:r>
        <w:rPr>
          <w:rFonts w:ascii="宋体" w:hAnsi="宋体" w:hint="eastAsia"/>
          <w:kern w:val="0"/>
          <w:szCs w:val="21"/>
        </w:rPr>
        <w:t>】</w:t>
      </w:r>
      <w:r>
        <w:rPr>
          <w:rFonts w:ascii="宋体" w:hAnsi="宋体" w:hint="eastAsia"/>
          <w:kern w:val="0"/>
          <w:szCs w:val="21"/>
        </w:rPr>
        <w:t>24</w:t>
      </w:r>
      <w:r>
        <w:rPr>
          <w:rFonts w:ascii="宋体" w:hAnsi="宋体" w:hint="eastAsia"/>
          <w:kern w:val="0"/>
          <w:szCs w:val="21"/>
        </w:rPr>
        <w:t>号</w:t>
      </w:r>
    </w:p>
    <w:p w:rsidR="00175D68" w:rsidRDefault="005D0F16">
      <w:pPr>
        <w:tabs>
          <w:tab w:val="left" w:pos="1110"/>
        </w:tabs>
        <w:spacing w:before="100" w:beforeAutospacing="1" w:after="100" w:afterAutospacing="1" w:line="400" w:lineRule="exact"/>
        <w:ind w:firstLine="420"/>
        <w:rPr>
          <w:rFonts w:ascii="宋体" w:hAnsi="宋体"/>
          <w:szCs w:val="21"/>
        </w:rPr>
      </w:pPr>
      <w:r>
        <w:rPr>
          <w:rFonts w:ascii="宋体" w:hAnsi="宋体" w:hint="eastAsia"/>
          <w:szCs w:val="21"/>
        </w:rPr>
        <w:t>组织形式：</w:t>
      </w:r>
      <w:r>
        <w:rPr>
          <w:rFonts w:ascii="宋体" w:hAnsi="宋体" w:hint="eastAsia"/>
          <w:szCs w:val="21"/>
        </w:rPr>
        <w:t xml:space="preserve">  </w:t>
      </w:r>
      <w:r>
        <w:rPr>
          <w:rFonts w:ascii="宋体" w:hAnsi="宋体" w:hint="eastAsia"/>
          <w:szCs w:val="21"/>
        </w:rPr>
        <w:t>股份有限公司</w:t>
      </w:r>
    </w:p>
    <w:p w:rsidR="00175D68" w:rsidRDefault="005D0F16">
      <w:pPr>
        <w:spacing w:before="100" w:beforeAutospacing="1" w:after="100" w:afterAutospacing="1" w:line="400" w:lineRule="exact"/>
        <w:ind w:right="26" w:firstLine="403"/>
        <w:rPr>
          <w:rFonts w:ascii="宋体" w:hAnsi="宋体"/>
          <w:szCs w:val="21"/>
        </w:rPr>
      </w:pPr>
      <w:r>
        <w:rPr>
          <w:rFonts w:ascii="宋体" w:hAnsi="宋体" w:hint="eastAsia"/>
          <w:szCs w:val="21"/>
        </w:rPr>
        <w:t>注册资本：</w:t>
      </w:r>
      <w:r>
        <w:rPr>
          <w:rFonts w:ascii="宋体" w:hAnsi="宋体" w:hint="eastAsia"/>
          <w:szCs w:val="21"/>
        </w:rPr>
        <w:tab/>
      </w:r>
      <w:r>
        <w:rPr>
          <w:rFonts w:ascii="宋体" w:hAnsi="宋体" w:hint="eastAsia"/>
          <w:szCs w:val="21"/>
        </w:rPr>
        <w:t>人民币贰仟玖佰肆拾叁亿捌仟柒佰柒拾玖万壹仟贰佰肆拾壹元整</w:t>
      </w:r>
    </w:p>
    <w:p w:rsidR="00175D68" w:rsidRDefault="005D0F16">
      <w:pPr>
        <w:spacing w:before="100" w:beforeAutospacing="1" w:after="100" w:afterAutospacing="1" w:line="400" w:lineRule="exact"/>
        <w:ind w:left="1674" w:right="26" w:hanging="1271"/>
        <w:rPr>
          <w:rFonts w:ascii="宋体" w:hAnsi="宋体"/>
          <w:szCs w:val="21"/>
        </w:rPr>
      </w:pPr>
      <w:r>
        <w:rPr>
          <w:rFonts w:ascii="宋体" w:hAnsi="宋体" w:hint="eastAsia"/>
          <w:szCs w:val="21"/>
        </w:rPr>
        <w:t>经营范围：</w:t>
      </w:r>
      <w:r>
        <w:rPr>
          <w:rFonts w:ascii="宋体" w:hAnsi="宋体" w:hint="eastAsia"/>
          <w:szCs w:val="21"/>
        </w:rPr>
        <w:tab/>
      </w:r>
      <w:r>
        <w:rPr>
          <w:rFonts w:ascii="宋体" w:hAnsi="宋体" w:hint="eastAsia"/>
          <w:szCs w:val="21"/>
        </w:rPr>
        <w:t>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w:t>
      </w:r>
      <w:r>
        <w:rPr>
          <w:rFonts w:ascii="宋体" w:hAnsi="宋体" w:hint="eastAsia"/>
          <w:szCs w:val="21"/>
        </w:rPr>
        <w:t>银团贷款；国际贵金属买卖；海外分支机构经营与当地法律许可的一切银行业务；在港澳地区的分行依据当地法令可发行或参与代理发行当地货币；经中国人民银行批准的其他业务。</w:t>
      </w:r>
    </w:p>
    <w:p w:rsidR="00175D68" w:rsidRDefault="005D0F16">
      <w:pPr>
        <w:spacing w:before="100" w:beforeAutospacing="1" w:after="100" w:afterAutospacing="1" w:line="400" w:lineRule="exact"/>
        <w:ind w:firstLine="403"/>
        <w:rPr>
          <w:rFonts w:ascii="宋体" w:hAnsi="宋体"/>
          <w:szCs w:val="21"/>
        </w:rPr>
      </w:pPr>
      <w:r>
        <w:rPr>
          <w:rFonts w:ascii="宋体" w:hAnsi="宋体" w:hint="eastAsia"/>
          <w:szCs w:val="21"/>
        </w:rPr>
        <w:t>存续期间：</w:t>
      </w:r>
      <w:r>
        <w:rPr>
          <w:rFonts w:ascii="宋体" w:hAnsi="宋体" w:hint="eastAsia"/>
          <w:szCs w:val="21"/>
        </w:rPr>
        <w:tab/>
      </w:r>
      <w:r>
        <w:rPr>
          <w:rFonts w:ascii="宋体" w:hAnsi="宋体" w:hint="eastAsia"/>
          <w:szCs w:val="21"/>
        </w:rPr>
        <w:t>持续经营</w:t>
      </w:r>
    </w:p>
    <w:p w:rsidR="00175D68" w:rsidRDefault="00175D68">
      <w:pPr>
        <w:spacing w:before="100" w:beforeAutospacing="1" w:after="100" w:afterAutospacing="1" w:line="400" w:lineRule="exact"/>
        <w:ind w:firstLine="403"/>
        <w:rPr>
          <w:rFonts w:ascii="宋体" w:hAnsi="宋体"/>
          <w:szCs w:val="21"/>
        </w:rPr>
      </w:pPr>
    </w:p>
    <w:p w:rsidR="00175D68" w:rsidRDefault="005D0F16">
      <w:pPr>
        <w:pStyle w:val="1"/>
        <w:spacing w:before="100" w:beforeAutospacing="1" w:after="100" w:afterAutospacing="1" w:line="400" w:lineRule="exact"/>
        <w:ind w:firstLine="422"/>
        <w:rPr>
          <w:rFonts w:ascii="宋体" w:hAnsi="宋体"/>
          <w:sz w:val="21"/>
          <w:szCs w:val="21"/>
        </w:rPr>
      </w:pPr>
      <w:bookmarkStart w:id="8" w:name="_Toc116900097"/>
      <w:r>
        <w:rPr>
          <w:rFonts w:ascii="宋体" w:hAnsi="宋体" w:hint="eastAsia"/>
          <w:sz w:val="21"/>
          <w:szCs w:val="21"/>
        </w:rPr>
        <w:t>二、托管协议的依据、目的、原则和解释</w:t>
      </w:r>
      <w:bookmarkEnd w:id="8"/>
    </w:p>
    <w:p w:rsidR="00175D68" w:rsidRDefault="005D0F16">
      <w:pPr>
        <w:spacing w:before="100" w:beforeAutospacing="1" w:after="100" w:afterAutospacing="1" w:line="400" w:lineRule="exact"/>
        <w:ind w:firstLine="403"/>
        <w:rPr>
          <w:rFonts w:ascii="宋体" w:hAnsi="宋体"/>
          <w:szCs w:val="21"/>
        </w:rPr>
      </w:pPr>
      <w:r>
        <w:rPr>
          <w:rFonts w:ascii="宋体" w:hAnsi="宋体" w:hint="eastAsia"/>
          <w:szCs w:val="21"/>
        </w:rPr>
        <w:t>（一）依据</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本协议依据《中华人民共和国合同法》、《中华人民共和国证券投资基金法》（以下简称“《基金法》”）、《公开募集证券投资基金运作管理办法》（以下简称“《运作办法》”）、《公开</w:t>
      </w:r>
      <w:r>
        <w:rPr>
          <w:rFonts w:ascii="宋体" w:eastAsia="宋体" w:hint="eastAsia"/>
          <w:color w:val="auto"/>
          <w:sz w:val="21"/>
          <w:szCs w:val="21"/>
        </w:rPr>
        <w:lastRenderedPageBreak/>
        <w:t>募集证券投资基金信息披露管理办法》（以下简称“《信息披露办法》”）、《公开募集开放式证券投资基金流动性风险管理规定》及其他有关法律法规与《华商高端装备制造股票型证券投资基金基金合同》（以下简称“《基金合同》”）订立。</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（二）目的</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订立本协议的目的是明确华商高端装备制造股票型证券投资基金基金托管人和华商高端装备制造股票型证券投资基金基金管理人之</w:t>
      </w:r>
      <w:r>
        <w:rPr>
          <w:rFonts w:ascii="宋体" w:eastAsia="宋体" w:hint="eastAsia"/>
          <w:color w:val="auto"/>
          <w:sz w:val="21"/>
          <w:szCs w:val="21"/>
        </w:rPr>
        <w:t>间在基金财产的保管、投资运作、净值计算、收益分配、信息披露及相互监督等相关事宜中的权利、义务及职责，确保基金财产的安全，保护基金份额持有人的合法权益。</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（三）原则</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基金管理人和基金托管人本着平等自愿、诚实信用的原则，经协商一致，签订本协议。</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（四）解释</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除非文义另有所指，本协议的所有术语与</w:t>
      </w:r>
      <w:bookmarkStart w:id="9" w:name="OLE_LINK3"/>
      <w:r>
        <w:rPr>
          <w:rFonts w:ascii="宋体" w:eastAsia="宋体" w:hint="eastAsia"/>
          <w:color w:val="auto"/>
          <w:sz w:val="21"/>
          <w:szCs w:val="21"/>
        </w:rPr>
        <w:t>《基金合同》</w:t>
      </w:r>
      <w:bookmarkEnd w:id="9"/>
      <w:r>
        <w:rPr>
          <w:rFonts w:ascii="宋体" w:eastAsia="宋体" w:hint="eastAsia"/>
          <w:color w:val="auto"/>
          <w:sz w:val="21"/>
          <w:szCs w:val="21"/>
        </w:rPr>
        <w:t>的相应术语具有相同含义；若有抵触应以《基金合同》为准。</w:t>
      </w:r>
    </w:p>
    <w:p w:rsidR="00175D68" w:rsidRDefault="00175D68">
      <w:pPr>
        <w:pStyle w:val="a9"/>
        <w:spacing w:before="100" w:beforeAutospacing="1" w:after="100" w:afterAutospacing="1"/>
        <w:ind w:firstLineChars="0" w:firstLine="0"/>
        <w:rPr>
          <w:rFonts w:ascii="宋体" w:eastAsia="宋体"/>
          <w:color w:val="auto"/>
          <w:sz w:val="21"/>
          <w:szCs w:val="21"/>
        </w:rPr>
      </w:pPr>
    </w:p>
    <w:p w:rsidR="00175D68" w:rsidRDefault="005D0F16">
      <w:pPr>
        <w:pStyle w:val="1"/>
        <w:spacing w:before="100" w:beforeAutospacing="1" w:after="100" w:afterAutospacing="1" w:line="400" w:lineRule="exact"/>
        <w:ind w:firstLine="422"/>
        <w:rPr>
          <w:rFonts w:ascii="宋体" w:hAnsi="宋体"/>
          <w:sz w:val="21"/>
          <w:szCs w:val="21"/>
        </w:rPr>
      </w:pPr>
      <w:bookmarkStart w:id="10" w:name="_Toc116900098"/>
      <w:r>
        <w:rPr>
          <w:rFonts w:ascii="宋体" w:hAnsi="宋体" w:hint="eastAsia"/>
          <w:sz w:val="21"/>
          <w:szCs w:val="21"/>
        </w:rPr>
        <w:t>三、基金托管人对基金管理人的业务监督和核查</w:t>
      </w:r>
      <w:bookmarkEnd w:id="10"/>
    </w:p>
    <w:p w:rsidR="00175D68" w:rsidRDefault="005D0F16">
      <w:pPr>
        <w:adjustRightInd w:val="0"/>
        <w:snapToGrid w:val="0"/>
        <w:spacing w:before="100" w:beforeAutospacing="1" w:after="100" w:afterAutospacing="1" w:line="400" w:lineRule="exact"/>
        <w:ind w:firstLineChars="200" w:firstLine="420"/>
        <w:rPr>
          <w:rFonts w:ascii="宋体" w:hAnsi="宋体" w:cs="方正仿宋简体"/>
          <w:szCs w:val="21"/>
        </w:rPr>
      </w:pPr>
      <w:r>
        <w:rPr>
          <w:rFonts w:ascii="宋体" w:hAnsi="宋体" w:cs="方正仿宋简体" w:hint="eastAsia"/>
          <w:szCs w:val="21"/>
        </w:rPr>
        <w:t>（一）基金托管人根据有关法律法规的规定对基金管理人的下列投资运作进行监督：</w:t>
      </w:r>
    </w:p>
    <w:p w:rsidR="00175D68" w:rsidRDefault="005D0F16">
      <w:pPr>
        <w:spacing w:line="360" w:lineRule="auto"/>
        <w:ind w:firstLine="480"/>
        <w:rPr>
          <w:rFonts w:ascii="宋体" w:hAnsi="宋体"/>
          <w:color w:val="000000"/>
          <w:szCs w:val="21"/>
        </w:rPr>
      </w:pPr>
      <w:r>
        <w:rPr>
          <w:rFonts w:ascii="宋体" w:hAnsi="宋体" w:cs="方正仿宋简体" w:hint="eastAsia"/>
          <w:szCs w:val="21"/>
        </w:rPr>
        <w:t>1</w:t>
      </w:r>
      <w:r>
        <w:rPr>
          <w:rFonts w:ascii="宋体" w:hAnsi="宋体" w:cs="方正仿宋简体" w:hint="eastAsia"/>
          <w:szCs w:val="21"/>
        </w:rPr>
        <w:t>、对基金的投资范围、投资对象进行监督。基金管理人应将拟投资的股票库、债券库等各投资品种的具体范围及时提供给基金托管人。基金</w:t>
      </w:r>
      <w:r>
        <w:rPr>
          <w:rFonts w:ascii="宋体" w:hAnsi="宋体" w:hint="eastAsia"/>
          <w:color w:val="000000"/>
          <w:szCs w:val="21"/>
        </w:rPr>
        <w:t>管理人可以根据实际情况的变化，对各投资品种的具体范围予以更新和调整，并及时通知基金托管人。基金托管人根据上述投资范围对基金的投资进行监督。</w:t>
      </w:r>
    </w:p>
    <w:p w:rsidR="00175D68" w:rsidRDefault="005D0F16">
      <w:pPr>
        <w:spacing w:line="360" w:lineRule="auto"/>
        <w:ind w:firstLine="480"/>
        <w:rPr>
          <w:rFonts w:ascii="宋体" w:hAnsi="宋体" w:cs="方正仿宋简体"/>
          <w:szCs w:val="21"/>
        </w:rPr>
      </w:pPr>
      <w:r>
        <w:rPr>
          <w:rFonts w:ascii="宋体" w:hAnsi="宋体" w:cs="方正仿宋简体" w:hint="eastAsia"/>
          <w:szCs w:val="21"/>
        </w:rPr>
        <w:t>本基金的投资范围为具有良好流动性的金融工具，包括国内依法发行上市的股票（包括中小板、创业板及其他经中国证监会核准或</w:t>
      </w:r>
      <w:r>
        <w:rPr>
          <w:rFonts w:ascii="宋体" w:hAnsi="宋体" w:cs="方正仿宋简体"/>
          <w:szCs w:val="21"/>
        </w:rPr>
        <w:t>注册</w:t>
      </w:r>
      <w:r>
        <w:rPr>
          <w:rFonts w:ascii="宋体" w:hAnsi="宋体" w:cs="方正仿宋简体" w:hint="eastAsia"/>
          <w:szCs w:val="21"/>
        </w:rPr>
        <w:t>上市的股票）、内地与香港股票市场交易互联互通机制下允许买卖的香港联合交易所上市股票（以下简称“港股通标的股票”）、债券（含国债、央</w:t>
      </w:r>
      <w:r>
        <w:rPr>
          <w:rFonts w:ascii="宋体" w:hAnsi="宋体" w:cs="方正仿宋简体" w:hint="eastAsia"/>
          <w:szCs w:val="21"/>
        </w:rPr>
        <w:t>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w:t>
      </w:r>
      <w:r>
        <w:rPr>
          <w:rFonts w:ascii="宋体" w:hAnsi="宋体" w:cs="方正仿宋简体" w:hint="eastAsia"/>
          <w:szCs w:val="21"/>
        </w:rPr>
        <w:lastRenderedPageBreak/>
        <w:t>款（含协议存款、定期存款及其他银行存款）、股指期货、资产支持证券以及法律法规或中国证监会允许基金投资的其他金融工具（但须符合中国证监会相关规定）。</w:t>
      </w:r>
    </w:p>
    <w:p w:rsidR="00175D68" w:rsidRDefault="005D0F16">
      <w:pPr>
        <w:spacing w:line="360" w:lineRule="auto"/>
        <w:ind w:firstLine="480"/>
        <w:rPr>
          <w:rFonts w:ascii="宋体" w:hAnsi="宋体" w:cs="方正仿宋简体"/>
          <w:szCs w:val="21"/>
        </w:rPr>
      </w:pPr>
      <w:r>
        <w:rPr>
          <w:rFonts w:ascii="宋体" w:hAnsi="宋体" w:cs="方正仿宋简体"/>
          <w:szCs w:val="21"/>
        </w:rPr>
        <w:t>如法律法规或监管机构以后允许基金投资其他品种，基金管理人在履行适当程序后，可以将其纳入投资范围。</w:t>
      </w:r>
    </w:p>
    <w:p w:rsidR="00175D68" w:rsidRDefault="005D0F16">
      <w:pPr>
        <w:spacing w:line="360" w:lineRule="auto"/>
        <w:ind w:firstLine="480"/>
        <w:rPr>
          <w:rFonts w:ascii="宋体" w:hAnsi="宋体" w:cs="方正仿宋简体"/>
          <w:szCs w:val="21"/>
        </w:rPr>
      </w:pPr>
      <w:r>
        <w:rPr>
          <w:rFonts w:ascii="宋体" w:hAnsi="宋体" w:cs="方正仿宋简体" w:hint="eastAsia"/>
          <w:szCs w:val="21"/>
        </w:rPr>
        <w:t>2</w:t>
      </w:r>
      <w:r>
        <w:rPr>
          <w:rFonts w:ascii="宋体" w:hAnsi="宋体" w:cs="方正仿宋简体" w:hint="eastAsia"/>
          <w:szCs w:val="21"/>
        </w:rPr>
        <w:t>、对基金投融资比例进行监督；</w:t>
      </w:r>
    </w:p>
    <w:p w:rsidR="00175D68" w:rsidRDefault="005D0F16">
      <w:pPr>
        <w:spacing w:line="360" w:lineRule="auto"/>
        <w:ind w:firstLine="480"/>
        <w:rPr>
          <w:rFonts w:ascii="宋体" w:hAnsi="宋体" w:cs="方正仿宋简体"/>
          <w:szCs w:val="21"/>
        </w:rPr>
      </w:pPr>
      <w:r>
        <w:rPr>
          <w:rFonts w:ascii="宋体" w:hAnsi="宋体" w:cs="方正仿宋简体" w:hint="eastAsia"/>
          <w:szCs w:val="21"/>
        </w:rPr>
        <w:t>本</w:t>
      </w:r>
      <w:r>
        <w:rPr>
          <w:rFonts w:ascii="宋体" w:hAnsi="宋体" w:cs="方正仿宋简体"/>
          <w:szCs w:val="21"/>
        </w:rPr>
        <w:t>基金</w:t>
      </w:r>
      <w:r>
        <w:rPr>
          <w:rFonts w:ascii="宋体" w:hAnsi="宋体" w:cs="方正仿宋简体"/>
          <w:szCs w:val="21"/>
        </w:rPr>
        <w:t>的投资组合比例为：</w:t>
      </w:r>
      <w:r>
        <w:rPr>
          <w:rFonts w:ascii="宋体" w:hAnsi="宋体" w:cs="方正仿宋简体" w:hint="eastAsia"/>
          <w:szCs w:val="21"/>
        </w:rPr>
        <w:t>股票投资比例为基金资产的</w:t>
      </w:r>
      <w:r>
        <w:rPr>
          <w:rFonts w:ascii="宋体" w:hAnsi="宋体" w:cs="方正仿宋简体" w:hint="eastAsia"/>
          <w:szCs w:val="21"/>
        </w:rPr>
        <w:t>80%-95%</w:t>
      </w:r>
      <w:r>
        <w:rPr>
          <w:rFonts w:ascii="宋体" w:hAnsi="宋体" w:cs="方正仿宋简体" w:hint="eastAsia"/>
          <w:szCs w:val="21"/>
        </w:rPr>
        <w:t>，其中投资于高端装备制造行业相关股票的比例不低于非现金基金资产的</w:t>
      </w:r>
      <w:r>
        <w:rPr>
          <w:rFonts w:ascii="宋体" w:hAnsi="宋体" w:cs="方正仿宋简体" w:hint="eastAsia"/>
          <w:szCs w:val="21"/>
        </w:rPr>
        <w:t>80%</w:t>
      </w:r>
      <w:r>
        <w:rPr>
          <w:rFonts w:ascii="宋体" w:hAnsi="宋体" w:cs="方正仿宋简体" w:hint="eastAsia"/>
          <w:szCs w:val="21"/>
        </w:rPr>
        <w:t>，投资于港股通标的股票的比例占股票资产的</w:t>
      </w:r>
      <w:r>
        <w:rPr>
          <w:rFonts w:ascii="宋体" w:hAnsi="宋体" w:cs="方正仿宋简体" w:hint="eastAsia"/>
          <w:szCs w:val="21"/>
        </w:rPr>
        <w:t xml:space="preserve"> 0-50%</w:t>
      </w:r>
      <w:r>
        <w:rPr>
          <w:rFonts w:ascii="宋体" w:hAnsi="宋体" w:cs="方正仿宋简体" w:hint="eastAsia"/>
          <w:szCs w:val="21"/>
        </w:rPr>
        <w:t>。每个交易日日终，在扣除股指期货合约需缴纳的交易保证金后，应当保持不低于基金资产净值</w:t>
      </w:r>
      <w:r>
        <w:rPr>
          <w:rFonts w:ascii="宋体" w:hAnsi="宋体" w:cs="方正仿宋简体" w:hint="eastAsia"/>
          <w:szCs w:val="21"/>
        </w:rPr>
        <w:t>5%</w:t>
      </w:r>
      <w:r>
        <w:rPr>
          <w:rFonts w:ascii="宋体" w:hAnsi="宋体" w:cs="方正仿宋简体" w:hint="eastAsia"/>
          <w:szCs w:val="21"/>
        </w:rPr>
        <w:t>的现金或到期日在一年以内的政府债券，其中现金不包括结算备付金、存出保证金、应收申购款等。</w:t>
      </w:r>
    </w:p>
    <w:p w:rsidR="00175D68" w:rsidRDefault="005D0F16">
      <w:pPr>
        <w:spacing w:line="360" w:lineRule="auto"/>
        <w:ind w:firstLine="480"/>
        <w:rPr>
          <w:bCs/>
          <w:szCs w:val="21"/>
        </w:rPr>
      </w:pPr>
      <w:r>
        <w:rPr>
          <w:rFonts w:ascii="宋体" w:hAnsi="宋体" w:cs="方正仿宋简体" w:hint="eastAsia"/>
          <w:szCs w:val="21"/>
        </w:rPr>
        <w:t>如法律法规或监管机构变更投资品种的投资比例限制，基金管理人在履行适当程序后，可以调整上述投资品种的投资比例。</w:t>
      </w:r>
    </w:p>
    <w:p w:rsidR="00175D68" w:rsidRDefault="005D0F16">
      <w:pPr>
        <w:adjustRightInd w:val="0"/>
        <w:snapToGrid w:val="0"/>
        <w:spacing w:line="360" w:lineRule="auto"/>
        <w:ind w:firstLineChars="200" w:firstLine="420"/>
        <w:rPr>
          <w:rFonts w:ascii="宋体" w:hAnsi="宋体" w:cs="方正仿宋简体"/>
          <w:szCs w:val="21"/>
        </w:rPr>
      </w:pPr>
      <w:r>
        <w:rPr>
          <w:rFonts w:ascii="宋体" w:hAnsi="宋体" w:cs="方正仿宋简体"/>
          <w:szCs w:val="21"/>
        </w:rPr>
        <w:t>基金的投资组合应遵循以下限制：</w:t>
      </w:r>
    </w:p>
    <w:p w:rsidR="00175D68" w:rsidRDefault="005D0F16">
      <w:pPr>
        <w:widowControl/>
        <w:spacing w:line="360" w:lineRule="auto"/>
        <w:ind w:firstLineChars="200" w:firstLine="420"/>
        <w:contextualSpacing/>
        <w:rPr>
          <w:rFonts w:ascii="宋体" w:hAnsi="宋体" w:cs="方正仿宋简体"/>
          <w:szCs w:val="21"/>
        </w:rPr>
      </w:pPr>
      <w:r>
        <w:rPr>
          <w:rFonts w:ascii="宋体" w:hAnsi="宋体" w:cs="方正仿宋简体" w:hint="eastAsia"/>
          <w:szCs w:val="21"/>
        </w:rPr>
        <w:t>（</w:t>
      </w:r>
      <w:r>
        <w:rPr>
          <w:rFonts w:ascii="宋体" w:hAnsi="宋体" w:cs="方正仿宋简体" w:hint="eastAsia"/>
          <w:szCs w:val="21"/>
        </w:rPr>
        <w:t>1</w:t>
      </w:r>
      <w:r>
        <w:rPr>
          <w:rFonts w:ascii="宋体" w:hAnsi="宋体" w:cs="方正仿宋简体" w:hint="eastAsia"/>
          <w:szCs w:val="21"/>
        </w:rPr>
        <w:t>）本基金的股票投资比例为基金资产的</w:t>
      </w:r>
      <w:r>
        <w:rPr>
          <w:rFonts w:ascii="宋体" w:hAnsi="宋体" w:cs="方正仿宋简体" w:hint="eastAsia"/>
          <w:szCs w:val="21"/>
        </w:rPr>
        <w:t>80%-95%</w:t>
      </w:r>
      <w:r>
        <w:rPr>
          <w:rFonts w:ascii="宋体" w:hAnsi="宋体" w:cs="方正仿宋简体" w:hint="eastAsia"/>
          <w:szCs w:val="21"/>
        </w:rPr>
        <w:t>，其中投资于高端装备制造行业相关股票的比例不低于非现金基金资产的</w:t>
      </w:r>
      <w:r>
        <w:rPr>
          <w:rFonts w:ascii="宋体" w:hAnsi="宋体" w:cs="方正仿宋简体" w:hint="eastAsia"/>
          <w:szCs w:val="21"/>
        </w:rPr>
        <w:t>80%</w:t>
      </w:r>
      <w:r>
        <w:rPr>
          <w:rFonts w:ascii="宋体" w:hAnsi="宋体" w:cs="方正仿宋简体" w:hint="eastAsia"/>
          <w:szCs w:val="21"/>
        </w:rPr>
        <w:t>，投资于港股通标的股票的比例占股票资产的</w:t>
      </w:r>
      <w:r>
        <w:rPr>
          <w:rFonts w:ascii="宋体" w:hAnsi="宋体" w:cs="方正仿宋简体" w:hint="eastAsia"/>
          <w:szCs w:val="21"/>
        </w:rPr>
        <w:t xml:space="preserve"> 0-50%</w:t>
      </w:r>
      <w:r>
        <w:rPr>
          <w:rFonts w:ascii="宋体" w:hAnsi="宋体" w:cs="方正仿宋简体" w:hint="eastAsia"/>
          <w:szCs w:val="21"/>
        </w:rPr>
        <w:t>；</w:t>
      </w:r>
    </w:p>
    <w:p w:rsidR="00175D68" w:rsidRDefault="005D0F16">
      <w:pPr>
        <w:spacing w:line="360" w:lineRule="auto"/>
        <w:ind w:firstLineChars="200" w:firstLine="420"/>
        <w:rPr>
          <w:rFonts w:ascii="宋体" w:hAnsi="宋体" w:cs="方正仿宋简体"/>
          <w:szCs w:val="21"/>
        </w:rPr>
      </w:pPr>
      <w:r>
        <w:rPr>
          <w:rFonts w:ascii="宋体" w:hAnsi="宋体" w:cs="方正仿宋简体" w:hint="eastAsia"/>
          <w:szCs w:val="21"/>
        </w:rPr>
        <w:t>（</w:t>
      </w:r>
      <w:r>
        <w:rPr>
          <w:rFonts w:ascii="宋体" w:hAnsi="宋体" w:cs="方正仿宋简体" w:hint="eastAsia"/>
          <w:szCs w:val="21"/>
        </w:rPr>
        <w:t>2</w:t>
      </w:r>
      <w:r>
        <w:rPr>
          <w:rFonts w:ascii="宋体" w:hAnsi="宋体" w:cs="方正仿宋简体" w:hint="eastAsia"/>
          <w:szCs w:val="21"/>
        </w:rPr>
        <w:t>）本基金每个交易日日终在扣除股指期货合约需缴纳的交易保证金后，保持不低于基金资产净值</w:t>
      </w:r>
      <w:r>
        <w:rPr>
          <w:rFonts w:ascii="宋体" w:hAnsi="宋体" w:cs="方正仿宋简体" w:hint="eastAsia"/>
          <w:szCs w:val="21"/>
        </w:rPr>
        <w:t>5</w:t>
      </w:r>
      <w:r>
        <w:rPr>
          <w:rFonts w:ascii="宋体" w:hAnsi="宋体" w:cs="方正仿宋简体" w:hint="eastAsia"/>
          <w:szCs w:val="21"/>
        </w:rPr>
        <w:t>％的现金或者到期日在一年以内的政府债券，其中现金不包括结算备付金、存出保证金、应收申购款等；</w:t>
      </w:r>
    </w:p>
    <w:p w:rsidR="00175D68" w:rsidRDefault="005D0F16">
      <w:pPr>
        <w:spacing w:line="360" w:lineRule="auto"/>
        <w:ind w:firstLineChars="200" w:firstLine="420"/>
        <w:rPr>
          <w:rFonts w:ascii="宋体" w:hAnsi="宋体" w:cs="方正仿宋简体"/>
          <w:szCs w:val="21"/>
        </w:rPr>
      </w:pPr>
      <w:r>
        <w:rPr>
          <w:rFonts w:ascii="宋体" w:hAnsi="宋体" w:cs="方正仿宋简体" w:hint="eastAsia"/>
          <w:szCs w:val="21"/>
        </w:rPr>
        <w:t>（</w:t>
      </w:r>
      <w:r>
        <w:rPr>
          <w:rFonts w:ascii="宋体" w:hAnsi="宋体" w:cs="方正仿宋简体" w:hint="eastAsia"/>
          <w:szCs w:val="21"/>
        </w:rPr>
        <w:t>3</w:t>
      </w:r>
      <w:r>
        <w:rPr>
          <w:rFonts w:ascii="宋体" w:hAnsi="宋体" w:cs="方正仿宋简体" w:hint="eastAsia"/>
          <w:szCs w:val="21"/>
        </w:rPr>
        <w:t>）本基金持有一家公司发行的证券，其市值</w:t>
      </w:r>
      <w:r>
        <w:rPr>
          <w:rFonts w:hAnsi="宋体" w:hint="eastAsia"/>
          <w:bCs/>
          <w:szCs w:val="21"/>
        </w:rPr>
        <w:t>（同一家公司在境内和香港同时上市的</w:t>
      </w:r>
      <w:r>
        <w:rPr>
          <w:rFonts w:hAnsi="宋体" w:hint="eastAsia"/>
          <w:bCs/>
          <w:szCs w:val="21"/>
        </w:rPr>
        <w:t>A+H</w:t>
      </w:r>
      <w:r>
        <w:rPr>
          <w:rFonts w:hAnsi="宋体" w:hint="eastAsia"/>
          <w:bCs/>
          <w:szCs w:val="21"/>
        </w:rPr>
        <w:t>股合并计算）</w:t>
      </w:r>
      <w:r>
        <w:rPr>
          <w:rFonts w:ascii="宋体" w:hAnsi="宋体" w:cs="方正仿宋简体" w:hint="eastAsia"/>
          <w:szCs w:val="21"/>
        </w:rPr>
        <w:t>不超过基金资产净值的</w:t>
      </w:r>
      <w:r>
        <w:rPr>
          <w:rFonts w:ascii="宋体" w:hAnsi="宋体" w:cs="方正仿宋简体" w:hint="eastAsia"/>
          <w:szCs w:val="21"/>
        </w:rPr>
        <w:t>10</w:t>
      </w:r>
      <w:r>
        <w:rPr>
          <w:rFonts w:ascii="宋体" w:hAnsi="宋体" w:hint="eastAsia"/>
          <w:bCs/>
          <w:szCs w:val="21"/>
        </w:rPr>
        <w:t>%</w:t>
      </w:r>
      <w:r>
        <w:rPr>
          <w:rFonts w:ascii="宋体" w:hAnsi="宋体" w:cs="方正仿宋简体" w:hint="eastAsia"/>
          <w:szCs w:val="21"/>
        </w:rPr>
        <w:t>；</w:t>
      </w:r>
    </w:p>
    <w:p w:rsidR="00175D68" w:rsidRDefault="005D0F16">
      <w:pPr>
        <w:spacing w:line="360" w:lineRule="auto"/>
        <w:ind w:firstLineChars="200" w:firstLine="420"/>
        <w:rPr>
          <w:rFonts w:ascii="宋体" w:hAnsi="宋体" w:cs="方正仿宋简体"/>
          <w:szCs w:val="21"/>
        </w:rPr>
      </w:pPr>
      <w:r>
        <w:rPr>
          <w:rFonts w:ascii="宋体" w:hAnsi="宋体" w:cs="方正仿宋简体" w:hint="eastAsia"/>
          <w:szCs w:val="21"/>
        </w:rPr>
        <w:t>（</w:t>
      </w:r>
      <w:r>
        <w:rPr>
          <w:rFonts w:ascii="宋体" w:hAnsi="宋体" w:cs="方正仿宋简体" w:hint="eastAsia"/>
          <w:szCs w:val="21"/>
        </w:rPr>
        <w:t>4</w:t>
      </w:r>
      <w:r>
        <w:rPr>
          <w:rFonts w:ascii="宋体" w:hAnsi="宋体" w:cs="方正仿宋简体" w:hint="eastAsia"/>
          <w:szCs w:val="21"/>
        </w:rPr>
        <w:t>）本基金管理人管理的的</w:t>
      </w:r>
      <w:r>
        <w:rPr>
          <w:rFonts w:ascii="宋体" w:hAnsi="宋体" w:cs="方正仿宋简体" w:hint="eastAsia"/>
          <w:szCs w:val="21"/>
        </w:rPr>
        <w:t>且</w:t>
      </w:r>
      <w:r>
        <w:rPr>
          <w:rFonts w:ascii="宋体" w:hAnsi="宋体" w:cs="方正仿宋简体"/>
          <w:szCs w:val="21"/>
        </w:rPr>
        <w:t>在本托管人处托管</w:t>
      </w:r>
      <w:r>
        <w:rPr>
          <w:rFonts w:ascii="宋体" w:hAnsi="宋体" w:cs="方正仿宋简体" w:hint="eastAsia"/>
          <w:szCs w:val="21"/>
        </w:rPr>
        <w:t>的全部基金持有一家公司发行的证券</w:t>
      </w:r>
      <w:r>
        <w:rPr>
          <w:rFonts w:ascii="宋体" w:hAnsi="宋体" w:hint="eastAsia"/>
          <w:bCs/>
          <w:szCs w:val="21"/>
        </w:rPr>
        <w:t>，</w:t>
      </w:r>
      <w:r>
        <w:rPr>
          <w:rFonts w:ascii="宋体" w:hAnsi="宋体" w:cs="方正仿宋简体" w:hint="eastAsia"/>
          <w:szCs w:val="21"/>
        </w:rPr>
        <w:t>不超过该证券的</w:t>
      </w:r>
      <w:r>
        <w:rPr>
          <w:rFonts w:ascii="宋体" w:hAnsi="宋体" w:cs="方正仿宋简体" w:hint="eastAsia"/>
          <w:szCs w:val="21"/>
        </w:rPr>
        <w:t>10</w:t>
      </w:r>
      <w:r>
        <w:rPr>
          <w:rFonts w:ascii="宋体" w:hAnsi="宋体" w:hint="eastAsia"/>
          <w:bCs/>
          <w:szCs w:val="21"/>
        </w:rPr>
        <w:t>%</w:t>
      </w:r>
      <w:r>
        <w:rPr>
          <w:rFonts w:ascii="宋体" w:hAnsi="宋体" w:cs="方正仿宋简体" w:hint="eastAsia"/>
          <w:szCs w:val="21"/>
        </w:rPr>
        <w:t>；</w:t>
      </w:r>
    </w:p>
    <w:p w:rsidR="00175D68" w:rsidRDefault="005D0F16">
      <w:pPr>
        <w:widowControl/>
        <w:spacing w:line="360" w:lineRule="auto"/>
        <w:ind w:firstLineChars="200" w:firstLine="420"/>
        <w:contextualSpacing/>
        <w:rPr>
          <w:rFonts w:hAnsi="宋体"/>
          <w:bCs/>
          <w:szCs w:val="21"/>
        </w:rPr>
      </w:pPr>
      <w:r>
        <w:rPr>
          <w:rFonts w:hAnsi="宋体"/>
          <w:bCs/>
          <w:szCs w:val="21"/>
        </w:rPr>
        <w:t>（</w:t>
      </w:r>
      <w:r>
        <w:rPr>
          <w:rFonts w:hAnsi="宋体" w:hint="eastAsia"/>
          <w:bCs/>
          <w:szCs w:val="21"/>
        </w:rPr>
        <w:t>5</w:t>
      </w:r>
      <w:r>
        <w:rPr>
          <w:rFonts w:hAnsi="宋体"/>
          <w:bCs/>
          <w:szCs w:val="21"/>
        </w:rPr>
        <w:t>）本基金投资于同一原始权益人的各类资产支持证券的比例，不得超过基金资产净值的</w:t>
      </w:r>
      <w:r>
        <w:rPr>
          <w:rFonts w:hAnsi="宋体"/>
          <w:bCs/>
          <w:szCs w:val="21"/>
        </w:rPr>
        <w:t>10</w:t>
      </w:r>
      <w:r>
        <w:rPr>
          <w:rFonts w:hAnsi="宋体"/>
          <w:bCs/>
          <w:szCs w:val="21"/>
        </w:rPr>
        <w:t>％；</w:t>
      </w:r>
    </w:p>
    <w:p w:rsidR="00175D68" w:rsidRDefault="005D0F16">
      <w:pPr>
        <w:widowControl/>
        <w:spacing w:line="360" w:lineRule="auto"/>
        <w:ind w:firstLineChars="200" w:firstLine="420"/>
        <w:contextualSpacing/>
        <w:rPr>
          <w:rFonts w:hAnsi="宋体"/>
          <w:bCs/>
          <w:szCs w:val="21"/>
        </w:rPr>
      </w:pPr>
      <w:r>
        <w:rPr>
          <w:rFonts w:hAnsi="宋体"/>
          <w:bCs/>
          <w:szCs w:val="21"/>
        </w:rPr>
        <w:t>（</w:t>
      </w:r>
      <w:r>
        <w:rPr>
          <w:rFonts w:hAnsi="宋体" w:hint="eastAsia"/>
          <w:bCs/>
          <w:szCs w:val="21"/>
        </w:rPr>
        <w:t>6</w:t>
      </w:r>
      <w:r>
        <w:rPr>
          <w:rFonts w:hAnsi="宋体"/>
          <w:bCs/>
          <w:szCs w:val="21"/>
        </w:rPr>
        <w:t>）本基金持有的全部资产支持证券，其市值不得超过基金资产净值的</w:t>
      </w:r>
      <w:r>
        <w:rPr>
          <w:rFonts w:hAnsi="宋体"/>
          <w:bCs/>
          <w:szCs w:val="21"/>
        </w:rPr>
        <w:t>20</w:t>
      </w:r>
      <w:r>
        <w:rPr>
          <w:rFonts w:hAnsi="宋体"/>
          <w:bCs/>
          <w:szCs w:val="21"/>
        </w:rPr>
        <w:t>％；</w:t>
      </w:r>
    </w:p>
    <w:p w:rsidR="00175D68" w:rsidRDefault="005D0F16">
      <w:pPr>
        <w:widowControl/>
        <w:spacing w:line="360" w:lineRule="auto"/>
        <w:ind w:firstLineChars="200" w:firstLine="420"/>
        <w:contextualSpacing/>
        <w:rPr>
          <w:rFonts w:hAnsi="宋体"/>
          <w:bCs/>
          <w:szCs w:val="21"/>
        </w:rPr>
      </w:pPr>
      <w:r>
        <w:rPr>
          <w:rFonts w:hAnsi="宋体"/>
          <w:bCs/>
          <w:szCs w:val="21"/>
        </w:rPr>
        <w:t>（</w:t>
      </w:r>
      <w:r>
        <w:rPr>
          <w:rFonts w:hAnsi="宋体" w:hint="eastAsia"/>
          <w:bCs/>
          <w:szCs w:val="21"/>
        </w:rPr>
        <w:t>7</w:t>
      </w:r>
      <w:r>
        <w:rPr>
          <w:rFonts w:hAnsi="宋体"/>
          <w:bCs/>
          <w:szCs w:val="21"/>
        </w:rPr>
        <w:t>）本基金持有的同一</w:t>
      </w:r>
      <w:r>
        <w:rPr>
          <w:rFonts w:hAnsi="宋体"/>
          <w:bCs/>
          <w:szCs w:val="21"/>
        </w:rPr>
        <w:t>(</w:t>
      </w:r>
      <w:r>
        <w:rPr>
          <w:rFonts w:hAnsi="宋体"/>
          <w:bCs/>
          <w:szCs w:val="21"/>
        </w:rPr>
        <w:t>指同一信用级别</w:t>
      </w:r>
      <w:r>
        <w:rPr>
          <w:rFonts w:hAnsi="宋体"/>
          <w:bCs/>
          <w:szCs w:val="21"/>
        </w:rPr>
        <w:t>)</w:t>
      </w:r>
      <w:r>
        <w:rPr>
          <w:rFonts w:hAnsi="宋体"/>
          <w:bCs/>
          <w:szCs w:val="21"/>
        </w:rPr>
        <w:t>资产支持证券的比例，不得超过该资产支持证券规模的</w:t>
      </w:r>
      <w:r>
        <w:rPr>
          <w:rFonts w:hAnsi="宋体"/>
          <w:bCs/>
          <w:szCs w:val="21"/>
        </w:rPr>
        <w:t>10</w:t>
      </w:r>
      <w:r>
        <w:rPr>
          <w:rFonts w:hAnsi="宋体"/>
          <w:bCs/>
          <w:szCs w:val="21"/>
        </w:rPr>
        <w:t>％；</w:t>
      </w:r>
    </w:p>
    <w:p w:rsidR="00175D68" w:rsidRDefault="005D0F16">
      <w:pPr>
        <w:widowControl/>
        <w:spacing w:line="360" w:lineRule="auto"/>
        <w:ind w:firstLineChars="200" w:firstLine="420"/>
        <w:contextualSpacing/>
        <w:rPr>
          <w:rFonts w:hAnsi="宋体"/>
          <w:bCs/>
          <w:szCs w:val="21"/>
        </w:rPr>
      </w:pPr>
      <w:r>
        <w:rPr>
          <w:rFonts w:hAnsi="宋体"/>
          <w:bCs/>
          <w:szCs w:val="21"/>
        </w:rPr>
        <w:t>（</w:t>
      </w:r>
      <w:r>
        <w:rPr>
          <w:rFonts w:hAnsi="宋体" w:hint="eastAsia"/>
          <w:bCs/>
          <w:szCs w:val="21"/>
        </w:rPr>
        <w:t>8</w:t>
      </w:r>
      <w:r>
        <w:rPr>
          <w:rFonts w:hAnsi="宋体"/>
          <w:bCs/>
          <w:szCs w:val="21"/>
        </w:rPr>
        <w:t>）本基金管理人管理的</w:t>
      </w:r>
      <w:r>
        <w:rPr>
          <w:rFonts w:hAnsi="宋体" w:hint="eastAsia"/>
          <w:bCs/>
          <w:szCs w:val="21"/>
        </w:rPr>
        <w:t>且由本托管人托管的</w:t>
      </w:r>
      <w:r>
        <w:rPr>
          <w:rFonts w:hAnsi="宋体"/>
          <w:bCs/>
          <w:szCs w:val="21"/>
        </w:rPr>
        <w:t>全部基金投资于同一原始权益人的各类资产支持证券，不得超过其各类资产支持证券合计规模的</w:t>
      </w:r>
      <w:r>
        <w:rPr>
          <w:rFonts w:hAnsi="宋体"/>
          <w:bCs/>
          <w:szCs w:val="21"/>
        </w:rPr>
        <w:t>10</w:t>
      </w:r>
      <w:r>
        <w:rPr>
          <w:rFonts w:hAnsi="宋体"/>
          <w:bCs/>
          <w:szCs w:val="21"/>
        </w:rPr>
        <w:t>％；</w:t>
      </w:r>
    </w:p>
    <w:p w:rsidR="00175D68" w:rsidRDefault="005D0F16">
      <w:pPr>
        <w:widowControl/>
        <w:spacing w:line="360" w:lineRule="auto"/>
        <w:ind w:firstLineChars="200" w:firstLine="420"/>
        <w:contextualSpacing/>
        <w:rPr>
          <w:rFonts w:hAnsi="宋体"/>
          <w:bCs/>
          <w:szCs w:val="21"/>
        </w:rPr>
      </w:pPr>
      <w:r>
        <w:rPr>
          <w:rFonts w:hAnsi="宋体"/>
          <w:bCs/>
          <w:szCs w:val="21"/>
        </w:rPr>
        <w:lastRenderedPageBreak/>
        <w:t>（</w:t>
      </w:r>
      <w:r>
        <w:rPr>
          <w:rFonts w:hAnsi="宋体" w:hint="eastAsia"/>
          <w:bCs/>
          <w:szCs w:val="21"/>
        </w:rPr>
        <w:t>9</w:t>
      </w:r>
      <w:r>
        <w:rPr>
          <w:rFonts w:hAnsi="宋体"/>
          <w:bCs/>
          <w:szCs w:val="21"/>
        </w:rPr>
        <w:t>）本基金应投资于信用级别评级为</w:t>
      </w:r>
      <w:r>
        <w:rPr>
          <w:rFonts w:hAnsi="宋体"/>
          <w:bCs/>
          <w:szCs w:val="21"/>
        </w:rPr>
        <w:t>BB</w:t>
      </w:r>
      <w:r>
        <w:rPr>
          <w:rFonts w:hAnsi="宋体"/>
          <w:bCs/>
          <w:szCs w:val="21"/>
        </w:rPr>
        <w:t>B</w:t>
      </w:r>
      <w:r>
        <w:rPr>
          <w:rFonts w:hAnsi="宋体"/>
          <w:bCs/>
          <w:szCs w:val="21"/>
        </w:rPr>
        <w:t>以上</w:t>
      </w:r>
      <w:r>
        <w:rPr>
          <w:rFonts w:hAnsi="宋体"/>
          <w:bCs/>
          <w:szCs w:val="21"/>
        </w:rPr>
        <w:t>(</w:t>
      </w:r>
      <w:r>
        <w:rPr>
          <w:rFonts w:hAnsi="宋体"/>
          <w:bCs/>
          <w:szCs w:val="21"/>
        </w:rPr>
        <w:t>含</w:t>
      </w:r>
      <w:r>
        <w:rPr>
          <w:rFonts w:hAnsi="宋体"/>
          <w:bCs/>
          <w:szCs w:val="21"/>
        </w:rPr>
        <w:t>BBB)</w:t>
      </w:r>
      <w:r>
        <w:rPr>
          <w:rFonts w:hAnsi="宋体"/>
          <w:bCs/>
          <w:szCs w:val="21"/>
        </w:rPr>
        <w:t>的资产支持证券。基金持有资产支持证券期间，如果其信用等级下降、不再符合投资标准，应在评级报告发布之日起</w:t>
      </w:r>
      <w:r>
        <w:rPr>
          <w:rFonts w:hAnsi="宋体"/>
          <w:bCs/>
          <w:szCs w:val="21"/>
        </w:rPr>
        <w:t>3</w:t>
      </w:r>
      <w:r>
        <w:rPr>
          <w:rFonts w:hAnsi="宋体"/>
          <w:bCs/>
          <w:szCs w:val="21"/>
        </w:rPr>
        <w:t>个月内予以全部卖出；</w:t>
      </w:r>
    </w:p>
    <w:p w:rsidR="00175D68" w:rsidRDefault="005D0F16">
      <w:pPr>
        <w:widowControl/>
        <w:spacing w:line="360" w:lineRule="auto"/>
        <w:ind w:firstLineChars="200" w:firstLine="420"/>
        <w:contextualSpacing/>
        <w:rPr>
          <w:rFonts w:hAnsi="宋体"/>
          <w:bCs/>
          <w:szCs w:val="21"/>
        </w:rPr>
      </w:pPr>
      <w:r>
        <w:rPr>
          <w:rFonts w:hAnsi="宋体"/>
          <w:bCs/>
          <w:szCs w:val="21"/>
        </w:rPr>
        <w:t>（</w:t>
      </w:r>
      <w:r>
        <w:rPr>
          <w:rFonts w:hAnsi="宋体"/>
          <w:bCs/>
          <w:szCs w:val="21"/>
        </w:rPr>
        <w:t>1</w:t>
      </w:r>
      <w:r>
        <w:rPr>
          <w:rFonts w:hAnsi="宋体" w:hint="eastAsia"/>
          <w:bCs/>
          <w:szCs w:val="21"/>
        </w:rPr>
        <w:t>0</w:t>
      </w:r>
      <w:r>
        <w:rPr>
          <w:rFonts w:hAnsi="宋体"/>
          <w:bCs/>
          <w:szCs w:val="21"/>
        </w:rPr>
        <w:t>）基金财产参与股票发行申购，本基金所申报的金额不超过本基金的总资产，本基金所申报的股票数量不超过拟发行股票公司本次发行股票的总量；</w:t>
      </w:r>
    </w:p>
    <w:p w:rsidR="00175D68" w:rsidRDefault="005D0F16">
      <w:pPr>
        <w:widowControl/>
        <w:spacing w:line="360" w:lineRule="auto"/>
        <w:ind w:firstLineChars="200" w:firstLine="420"/>
        <w:contextualSpacing/>
        <w:rPr>
          <w:rFonts w:hAnsi="宋体"/>
          <w:bCs/>
          <w:szCs w:val="21"/>
        </w:rPr>
      </w:pPr>
      <w:r>
        <w:rPr>
          <w:rFonts w:hAnsi="宋体"/>
          <w:bCs/>
          <w:szCs w:val="21"/>
        </w:rPr>
        <w:t>（</w:t>
      </w:r>
      <w:r>
        <w:rPr>
          <w:rFonts w:hAnsi="宋体"/>
          <w:bCs/>
          <w:szCs w:val="21"/>
        </w:rPr>
        <w:t>1</w:t>
      </w:r>
      <w:r>
        <w:rPr>
          <w:rFonts w:hAnsi="宋体" w:hint="eastAsia"/>
          <w:bCs/>
          <w:szCs w:val="21"/>
        </w:rPr>
        <w:t>1</w:t>
      </w:r>
      <w:r>
        <w:rPr>
          <w:rFonts w:hAnsi="宋体"/>
          <w:bCs/>
          <w:szCs w:val="21"/>
        </w:rPr>
        <w:t>）本基金进入全国银行间同业市场进行债券回购的资金余额不得超过基金资产净值的</w:t>
      </w:r>
      <w:r>
        <w:rPr>
          <w:rFonts w:hAnsi="宋体"/>
          <w:bCs/>
          <w:szCs w:val="21"/>
        </w:rPr>
        <w:t>40%</w:t>
      </w:r>
      <w:r>
        <w:rPr>
          <w:rFonts w:hAnsi="宋体" w:hint="eastAsia"/>
          <w:bCs/>
          <w:szCs w:val="21"/>
        </w:rPr>
        <w:t>；在全国银行间同业市场的债券回购最长期限为</w:t>
      </w:r>
      <w:r>
        <w:rPr>
          <w:rFonts w:hAnsi="宋体" w:hint="eastAsia"/>
          <w:bCs/>
          <w:szCs w:val="21"/>
        </w:rPr>
        <w:t>1</w:t>
      </w:r>
      <w:r>
        <w:rPr>
          <w:rFonts w:hAnsi="宋体" w:hint="eastAsia"/>
          <w:bCs/>
          <w:szCs w:val="21"/>
        </w:rPr>
        <w:t>年，债券回购到期后不得展期；</w:t>
      </w:r>
    </w:p>
    <w:p w:rsidR="00175D68" w:rsidRDefault="005D0F16">
      <w:pPr>
        <w:widowControl/>
        <w:spacing w:line="360" w:lineRule="auto"/>
        <w:ind w:firstLineChars="200" w:firstLine="420"/>
        <w:contextualSpacing/>
        <w:rPr>
          <w:rFonts w:hAnsi="宋体"/>
          <w:bCs/>
          <w:szCs w:val="21"/>
        </w:rPr>
      </w:pPr>
      <w:r>
        <w:rPr>
          <w:rFonts w:hAnsi="宋体"/>
          <w:bCs/>
          <w:szCs w:val="21"/>
        </w:rPr>
        <w:t>（</w:t>
      </w:r>
      <w:r>
        <w:rPr>
          <w:rFonts w:hAnsi="宋体"/>
          <w:bCs/>
          <w:szCs w:val="21"/>
        </w:rPr>
        <w:t>1</w:t>
      </w:r>
      <w:r>
        <w:rPr>
          <w:rFonts w:hAnsi="宋体" w:hint="eastAsia"/>
          <w:bCs/>
          <w:szCs w:val="21"/>
        </w:rPr>
        <w:t>2</w:t>
      </w:r>
      <w:r>
        <w:rPr>
          <w:rFonts w:hAnsi="宋体"/>
          <w:bCs/>
          <w:szCs w:val="21"/>
        </w:rPr>
        <w:t>）本基金</w:t>
      </w:r>
      <w:r>
        <w:rPr>
          <w:rFonts w:hAnsi="宋体" w:hint="eastAsia"/>
          <w:bCs/>
          <w:szCs w:val="21"/>
        </w:rPr>
        <w:t>管理人管理且由本基金托管人托管的全部开放式基金持有一家上市公司发行的可流通股票，不得超过该上市公司可流通股票的</w:t>
      </w:r>
      <w:r>
        <w:rPr>
          <w:rFonts w:hAnsi="宋体" w:hint="eastAsia"/>
          <w:bCs/>
          <w:szCs w:val="21"/>
        </w:rPr>
        <w:t>15%</w:t>
      </w:r>
      <w:r>
        <w:rPr>
          <w:rFonts w:hAnsi="宋体"/>
          <w:bCs/>
          <w:szCs w:val="21"/>
        </w:rPr>
        <w:t>；</w:t>
      </w:r>
      <w:r>
        <w:rPr>
          <w:rFonts w:hAnsi="宋体" w:hint="eastAsia"/>
          <w:bCs/>
          <w:szCs w:val="21"/>
        </w:rPr>
        <w:t>本基金管理人管理且由本基金托管人托管的全部投资组合持有一家上市公司发行的可流通股票，不得超过该上市公司可流通股票的</w:t>
      </w:r>
      <w:r>
        <w:rPr>
          <w:rFonts w:hAnsi="宋体" w:hint="eastAsia"/>
          <w:bCs/>
          <w:szCs w:val="21"/>
        </w:rPr>
        <w:t>30%</w:t>
      </w:r>
      <w:r>
        <w:rPr>
          <w:rFonts w:hAnsi="宋体" w:hint="eastAsia"/>
          <w:bCs/>
          <w:szCs w:val="21"/>
        </w:rPr>
        <w:t>；</w:t>
      </w:r>
    </w:p>
    <w:p w:rsidR="00175D68" w:rsidRDefault="005D0F16">
      <w:pPr>
        <w:widowControl/>
        <w:spacing w:line="360" w:lineRule="auto"/>
        <w:ind w:firstLineChars="200" w:firstLine="420"/>
        <w:contextualSpacing/>
        <w:rPr>
          <w:rFonts w:hAnsi="宋体"/>
          <w:bCs/>
          <w:szCs w:val="21"/>
        </w:rPr>
      </w:pPr>
      <w:r>
        <w:rPr>
          <w:rFonts w:hAnsi="宋体"/>
          <w:bCs/>
          <w:szCs w:val="21"/>
        </w:rPr>
        <w:t>（</w:t>
      </w:r>
      <w:r>
        <w:rPr>
          <w:rFonts w:hAnsi="宋体"/>
          <w:bCs/>
          <w:szCs w:val="21"/>
        </w:rPr>
        <w:t>1</w:t>
      </w:r>
      <w:r>
        <w:rPr>
          <w:rFonts w:hAnsi="宋体" w:hint="eastAsia"/>
          <w:bCs/>
          <w:szCs w:val="21"/>
        </w:rPr>
        <w:t>3</w:t>
      </w:r>
      <w:r>
        <w:rPr>
          <w:rFonts w:hAnsi="宋体"/>
          <w:bCs/>
          <w:szCs w:val="21"/>
        </w:rPr>
        <w:t>）本基金主动投资于流动性受限资产的市值合计不得超过基金资产净值的</w:t>
      </w:r>
      <w:r>
        <w:rPr>
          <w:rFonts w:hAnsi="宋体"/>
          <w:bCs/>
          <w:szCs w:val="21"/>
        </w:rPr>
        <w:t>15%</w:t>
      </w:r>
      <w:r>
        <w:rPr>
          <w:rFonts w:hAnsi="宋体"/>
          <w:bCs/>
          <w:szCs w:val="21"/>
        </w:rPr>
        <w:t>；因证券市场波动、上市公司股票停牌、基金规模变动等基金管理人之外的因素致使基金不符合该比例限制的，基金管理人不得主动新增流动性受限资产的投资；</w:t>
      </w:r>
    </w:p>
    <w:p w:rsidR="00175D68" w:rsidRDefault="005D0F16">
      <w:pPr>
        <w:widowControl/>
        <w:spacing w:line="360" w:lineRule="auto"/>
        <w:ind w:firstLineChars="200" w:firstLine="420"/>
        <w:contextualSpacing/>
        <w:rPr>
          <w:rFonts w:hAnsi="宋体"/>
          <w:bCs/>
          <w:szCs w:val="21"/>
        </w:rPr>
      </w:pPr>
      <w:r>
        <w:rPr>
          <w:rFonts w:hAnsi="宋体"/>
          <w:bCs/>
          <w:szCs w:val="21"/>
        </w:rPr>
        <w:t>（</w:t>
      </w:r>
      <w:r>
        <w:rPr>
          <w:rFonts w:hAnsi="宋体"/>
          <w:bCs/>
          <w:szCs w:val="21"/>
        </w:rPr>
        <w:t>1</w:t>
      </w:r>
      <w:r>
        <w:rPr>
          <w:rFonts w:hAnsi="宋体" w:hint="eastAsia"/>
          <w:bCs/>
          <w:szCs w:val="21"/>
        </w:rPr>
        <w:t>4</w:t>
      </w:r>
      <w:r>
        <w:rPr>
          <w:rFonts w:hAnsi="宋体"/>
          <w:bCs/>
          <w:szCs w:val="21"/>
        </w:rPr>
        <w:t>）本基金与私募类证券资管产品及中国证监会认定</w:t>
      </w:r>
      <w:r>
        <w:rPr>
          <w:rFonts w:hAnsi="宋体"/>
          <w:bCs/>
          <w:szCs w:val="21"/>
        </w:rPr>
        <w:t>的其他主体为交易对手开展逆回购交易的，可接受质押品的资质要求应当与基金合同约定的投资范围保持一致；</w:t>
      </w:r>
    </w:p>
    <w:p w:rsidR="00175D68" w:rsidRDefault="005D0F16">
      <w:pPr>
        <w:widowControl/>
        <w:spacing w:line="360" w:lineRule="auto"/>
        <w:ind w:firstLineChars="200" w:firstLine="420"/>
        <w:contextualSpacing/>
        <w:rPr>
          <w:rFonts w:hAnsi="宋体"/>
          <w:bCs/>
          <w:szCs w:val="21"/>
        </w:rPr>
      </w:pPr>
      <w:r>
        <w:rPr>
          <w:rFonts w:hAnsi="宋体"/>
          <w:bCs/>
          <w:szCs w:val="21"/>
        </w:rPr>
        <w:t>（</w:t>
      </w:r>
      <w:r>
        <w:rPr>
          <w:rFonts w:hAnsi="宋体"/>
          <w:bCs/>
          <w:szCs w:val="21"/>
        </w:rPr>
        <w:t>1</w:t>
      </w:r>
      <w:r>
        <w:rPr>
          <w:rFonts w:hAnsi="宋体" w:hint="eastAsia"/>
          <w:bCs/>
          <w:szCs w:val="21"/>
        </w:rPr>
        <w:t>5</w:t>
      </w:r>
      <w:r>
        <w:rPr>
          <w:rFonts w:hAnsi="宋体"/>
          <w:bCs/>
          <w:szCs w:val="21"/>
        </w:rPr>
        <w:t>）本基金资产总值不超过基金资产净值的</w:t>
      </w:r>
      <w:r>
        <w:rPr>
          <w:rFonts w:hAnsi="宋体"/>
          <w:bCs/>
          <w:szCs w:val="21"/>
        </w:rPr>
        <w:t>140%</w:t>
      </w:r>
      <w:r>
        <w:rPr>
          <w:rFonts w:hAnsi="宋体"/>
          <w:bCs/>
          <w:szCs w:val="21"/>
        </w:rPr>
        <w:t>；</w:t>
      </w:r>
    </w:p>
    <w:p w:rsidR="00175D68" w:rsidRDefault="005D0F16">
      <w:pPr>
        <w:widowControl/>
        <w:spacing w:line="360" w:lineRule="auto"/>
        <w:ind w:firstLineChars="200" w:firstLine="420"/>
        <w:contextualSpacing/>
        <w:rPr>
          <w:rFonts w:hAnsi="宋体"/>
          <w:bCs/>
          <w:szCs w:val="21"/>
        </w:rPr>
      </w:pPr>
      <w:r>
        <w:rPr>
          <w:rFonts w:hAnsi="宋体"/>
          <w:bCs/>
          <w:szCs w:val="21"/>
        </w:rPr>
        <w:t>（</w:t>
      </w:r>
      <w:r>
        <w:rPr>
          <w:rFonts w:hAnsi="宋体" w:hint="eastAsia"/>
          <w:bCs/>
          <w:szCs w:val="21"/>
        </w:rPr>
        <w:t>16</w:t>
      </w:r>
      <w:r>
        <w:rPr>
          <w:rFonts w:hAnsi="宋体" w:hint="eastAsia"/>
          <w:bCs/>
          <w:szCs w:val="21"/>
        </w:rPr>
        <w:t>）本基金参与投资股指期货交易时，应遵循以下中国证监会规定的投资限制：</w:t>
      </w:r>
    </w:p>
    <w:p w:rsidR="00175D68" w:rsidRDefault="005D0F16">
      <w:pPr>
        <w:widowControl/>
        <w:spacing w:line="360" w:lineRule="auto"/>
        <w:ind w:firstLineChars="200" w:firstLine="420"/>
        <w:contextualSpacing/>
        <w:rPr>
          <w:rFonts w:hAnsi="宋体"/>
          <w:bCs/>
          <w:szCs w:val="21"/>
        </w:rPr>
      </w:pPr>
      <w:r>
        <w:rPr>
          <w:rFonts w:hAnsi="宋体" w:hint="eastAsia"/>
          <w:bCs/>
          <w:szCs w:val="21"/>
        </w:rPr>
        <w:t>1</w:t>
      </w:r>
      <w:r>
        <w:rPr>
          <w:rFonts w:hAnsi="宋体" w:hint="eastAsia"/>
          <w:bCs/>
          <w:szCs w:val="21"/>
        </w:rPr>
        <w:t>）本基金在任何交易日日终，持有的买入股指期货合约价值，不得超过基金资产净值的</w:t>
      </w:r>
      <w:r>
        <w:rPr>
          <w:rFonts w:hAnsi="宋体" w:hint="eastAsia"/>
          <w:bCs/>
          <w:szCs w:val="21"/>
        </w:rPr>
        <w:t>10%</w:t>
      </w:r>
      <w:r>
        <w:rPr>
          <w:rFonts w:hAnsi="宋体" w:hint="eastAsia"/>
          <w:bCs/>
          <w:szCs w:val="21"/>
        </w:rPr>
        <w:t>；</w:t>
      </w:r>
    </w:p>
    <w:p w:rsidR="00175D68" w:rsidRDefault="005D0F16">
      <w:pPr>
        <w:widowControl/>
        <w:spacing w:line="360" w:lineRule="auto"/>
        <w:ind w:firstLineChars="200" w:firstLine="420"/>
        <w:contextualSpacing/>
        <w:rPr>
          <w:rFonts w:hAnsi="宋体"/>
          <w:bCs/>
          <w:szCs w:val="21"/>
        </w:rPr>
      </w:pPr>
      <w:r>
        <w:rPr>
          <w:rFonts w:hAnsi="宋体" w:hint="eastAsia"/>
          <w:bCs/>
          <w:szCs w:val="21"/>
        </w:rPr>
        <w:t>2</w:t>
      </w:r>
      <w:r>
        <w:rPr>
          <w:rFonts w:hAnsi="宋体" w:hint="eastAsia"/>
          <w:bCs/>
          <w:szCs w:val="21"/>
        </w:rPr>
        <w:t>）本基金在任何交易日日终，持有的买入股指期货合约价值和有价证券市值之和，不得超过基金资产净值的</w:t>
      </w:r>
      <w:r>
        <w:rPr>
          <w:rFonts w:hAnsi="宋体" w:hint="eastAsia"/>
          <w:bCs/>
          <w:szCs w:val="21"/>
        </w:rPr>
        <w:t>95%</w:t>
      </w:r>
      <w:r>
        <w:rPr>
          <w:rFonts w:hAnsi="宋体" w:hint="eastAsia"/>
          <w:bCs/>
          <w:szCs w:val="21"/>
        </w:rPr>
        <w:t>。其中，有价证券指股票、债券（不含到期日在一年以内的政府债券）、资产支持证券、买入返售金融资</w:t>
      </w:r>
      <w:r>
        <w:rPr>
          <w:rFonts w:hAnsi="宋体" w:hint="eastAsia"/>
          <w:bCs/>
          <w:szCs w:val="21"/>
        </w:rPr>
        <w:t>产（不含质押式回购）等；</w:t>
      </w:r>
    </w:p>
    <w:p w:rsidR="00175D68" w:rsidRDefault="005D0F16">
      <w:pPr>
        <w:widowControl/>
        <w:spacing w:line="360" w:lineRule="auto"/>
        <w:ind w:firstLineChars="200" w:firstLine="420"/>
        <w:contextualSpacing/>
        <w:rPr>
          <w:rFonts w:hAnsi="宋体"/>
          <w:bCs/>
          <w:szCs w:val="21"/>
        </w:rPr>
      </w:pPr>
      <w:r>
        <w:rPr>
          <w:rFonts w:hAnsi="宋体" w:hint="eastAsia"/>
          <w:bCs/>
          <w:szCs w:val="21"/>
        </w:rPr>
        <w:t>3</w:t>
      </w:r>
      <w:r>
        <w:rPr>
          <w:rFonts w:hAnsi="宋体" w:hint="eastAsia"/>
          <w:bCs/>
          <w:szCs w:val="21"/>
        </w:rPr>
        <w:t>）本基金在任何交易日日终，持有的卖出股指期货合约价值不得超过基金持有的股票总市值的</w:t>
      </w:r>
      <w:r>
        <w:rPr>
          <w:rFonts w:hAnsi="宋体" w:hint="eastAsia"/>
          <w:bCs/>
          <w:szCs w:val="21"/>
        </w:rPr>
        <w:t>20%</w:t>
      </w:r>
      <w:r>
        <w:rPr>
          <w:rFonts w:hAnsi="宋体" w:hint="eastAsia"/>
          <w:bCs/>
          <w:szCs w:val="21"/>
        </w:rPr>
        <w:t>；</w:t>
      </w:r>
    </w:p>
    <w:p w:rsidR="00175D68" w:rsidRDefault="005D0F16">
      <w:pPr>
        <w:widowControl/>
        <w:spacing w:line="360" w:lineRule="auto"/>
        <w:ind w:firstLineChars="200" w:firstLine="420"/>
        <w:contextualSpacing/>
        <w:rPr>
          <w:rFonts w:hAnsi="宋体"/>
          <w:bCs/>
          <w:szCs w:val="21"/>
        </w:rPr>
      </w:pPr>
      <w:r>
        <w:rPr>
          <w:rFonts w:hAnsi="宋体" w:hint="eastAsia"/>
          <w:bCs/>
          <w:szCs w:val="21"/>
        </w:rPr>
        <w:t>4</w:t>
      </w:r>
      <w:r>
        <w:rPr>
          <w:rFonts w:hAnsi="宋体" w:hint="eastAsia"/>
          <w:bCs/>
          <w:szCs w:val="21"/>
        </w:rPr>
        <w:t>）本基金在任何交易日内交易（不包括平仓）的股指期货合约的成交金额不得超过上一交易日基金资产净值的</w:t>
      </w:r>
      <w:r>
        <w:rPr>
          <w:rFonts w:hAnsi="宋体" w:hint="eastAsia"/>
          <w:bCs/>
          <w:szCs w:val="21"/>
        </w:rPr>
        <w:t>20%</w:t>
      </w:r>
      <w:r>
        <w:rPr>
          <w:rFonts w:hAnsi="宋体" w:hint="eastAsia"/>
          <w:bCs/>
          <w:szCs w:val="21"/>
        </w:rPr>
        <w:t>；</w:t>
      </w:r>
    </w:p>
    <w:p w:rsidR="00175D68" w:rsidRDefault="005D0F16">
      <w:pPr>
        <w:spacing w:line="360" w:lineRule="auto"/>
        <w:ind w:firstLineChars="200" w:firstLine="420"/>
        <w:rPr>
          <w:rFonts w:ascii="宋体" w:hAnsi="宋体" w:cs="方正仿宋简体"/>
          <w:szCs w:val="21"/>
        </w:rPr>
      </w:pPr>
      <w:r>
        <w:rPr>
          <w:rFonts w:ascii="宋体" w:hAnsi="宋体" w:cs="方正仿宋简体" w:hint="eastAsia"/>
          <w:szCs w:val="21"/>
        </w:rPr>
        <w:t>（</w:t>
      </w:r>
      <w:r>
        <w:rPr>
          <w:rFonts w:ascii="宋体" w:hAnsi="宋体" w:hint="eastAsia"/>
          <w:bCs/>
          <w:szCs w:val="21"/>
        </w:rPr>
        <w:t>17</w:t>
      </w:r>
      <w:r>
        <w:rPr>
          <w:rFonts w:ascii="宋体" w:hAnsi="宋体" w:cs="方正仿宋简体" w:hint="eastAsia"/>
          <w:szCs w:val="21"/>
        </w:rPr>
        <w:t>）法律法规及中国证监会规定的</w:t>
      </w:r>
      <w:r>
        <w:rPr>
          <w:rFonts w:ascii="宋体" w:hAnsi="宋体" w:hint="eastAsia"/>
          <w:bCs/>
          <w:szCs w:val="21"/>
        </w:rPr>
        <w:t>其它</w:t>
      </w:r>
      <w:r>
        <w:rPr>
          <w:rFonts w:ascii="宋体" w:hAnsi="宋体" w:cs="方正仿宋简体" w:hint="eastAsia"/>
          <w:szCs w:val="21"/>
        </w:rPr>
        <w:t>投资比例限制。</w:t>
      </w:r>
    </w:p>
    <w:p w:rsidR="00175D68" w:rsidRDefault="005D0F16">
      <w:pPr>
        <w:spacing w:line="360" w:lineRule="auto"/>
        <w:ind w:firstLineChars="200" w:firstLine="420"/>
        <w:rPr>
          <w:rFonts w:ascii="宋体" w:hAnsi="宋体" w:cs="方正仿宋简体"/>
          <w:szCs w:val="21"/>
        </w:rPr>
      </w:pPr>
      <w:r>
        <w:rPr>
          <w:rFonts w:ascii="宋体" w:hAnsi="宋体" w:cs="方正仿宋简体" w:hint="eastAsia"/>
          <w:szCs w:val="21"/>
        </w:rPr>
        <w:t>因证券</w:t>
      </w:r>
      <w:r>
        <w:rPr>
          <w:rFonts w:ascii="宋体" w:hAnsi="宋体" w:hint="eastAsia"/>
          <w:bCs/>
          <w:szCs w:val="21"/>
        </w:rPr>
        <w:t>/</w:t>
      </w:r>
      <w:r>
        <w:rPr>
          <w:rFonts w:ascii="宋体" w:hAnsi="宋体" w:cs="方正仿宋简体" w:hint="eastAsia"/>
          <w:szCs w:val="21"/>
        </w:rPr>
        <w:t>期货市场波动、</w:t>
      </w:r>
      <w:r>
        <w:rPr>
          <w:rFonts w:ascii="宋体" w:hAnsi="宋体" w:hint="eastAsia"/>
          <w:bCs/>
          <w:szCs w:val="21"/>
        </w:rPr>
        <w:t>证券发行人</w:t>
      </w:r>
      <w:r>
        <w:rPr>
          <w:rFonts w:ascii="宋体" w:hAnsi="宋体" w:cs="方正仿宋简体" w:hint="eastAsia"/>
          <w:szCs w:val="21"/>
        </w:rPr>
        <w:t>合并、基金规模变动等基金管理人之外的因素致使基金投资比例不符合上述规定投资比例的，</w:t>
      </w:r>
      <w:r>
        <w:rPr>
          <w:rFonts w:ascii="宋体" w:hAnsi="宋体" w:hint="eastAsia"/>
          <w:bCs/>
          <w:szCs w:val="21"/>
        </w:rPr>
        <w:t>除上述第（</w:t>
      </w:r>
      <w:r>
        <w:rPr>
          <w:rFonts w:ascii="宋体" w:hAnsi="宋体" w:hint="eastAsia"/>
          <w:bCs/>
          <w:szCs w:val="21"/>
        </w:rPr>
        <w:t>2</w:t>
      </w:r>
      <w:r>
        <w:rPr>
          <w:rFonts w:ascii="宋体" w:hAnsi="宋体" w:hint="eastAsia"/>
          <w:bCs/>
          <w:szCs w:val="21"/>
        </w:rPr>
        <w:t>）、（</w:t>
      </w:r>
      <w:r>
        <w:rPr>
          <w:rFonts w:ascii="宋体" w:hAnsi="宋体" w:hint="eastAsia"/>
          <w:bCs/>
          <w:szCs w:val="21"/>
        </w:rPr>
        <w:t>9</w:t>
      </w:r>
      <w:r>
        <w:rPr>
          <w:rFonts w:ascii="宋体" w:hAnsi="宋体" w:hint="eastAsia"/>
          <w:bCs/>
          <w:szCs w:val="21"/>
        </w:rPr>
        <w:t>）、（</w:t>
      </w:r>
      <w:r>
        <w:rPr>
          <w:rFonts w:ascii="宋体" w:hAnsi="宋体" w:hint="eastAsia"/>
          <w:bCs/>
          <w:szCs w:val="21"/>
        </w:rPr>
        <w:t>13</w:t>
      </w:r>
      <w:r>
        <w:rPr>
          <w:rFonts w:ascii="宋体" w:hAnsi="宋体" w:hint="eastAsia"/>
          <w:bCs/>
          <w:szCs w:val="21"/>
        </w:rPr>
        <w:t>）、（</w:t>
      </w:r>
      <w:r>
        <w:rPr>
          <w:rFonts w:ascii="宋体" w:hAnsi="宋体" w:hint="eastAsia"/>
          <w:bCs/>
          <w:szCs w:val="21"/>
        </w:rPr>
        <w:t>14</w:t>
      </w:r>
      <w:r>
        <w:rPr>
          <w:rFonts w:ascii="宋体" w:hAnsi="宋体" w:hint="eastAsia"/>
          <w:bCs/>
          <w:szCs w:val="21"/>
        </w:rPr>
        <w:t>）条外，</w:t>
      </w:r>
      <w:r>
        <w:rPr>
          <w:rFonts w:ascii="宋体" w:hAnsi="宋体" w:cs="方正仿宋简体" w:hint="eastAsia"/>
          <w:szCs w:val="21"/>
        </w:rPr>
        <w:t>基金管</w:t>
      </w:r>
      <w:r>
        <w:rPr>
          <w:rFonts w:ascii="宋体" w:hAnsi="宋体" w:cs="方正仿宋简体" w:hint="eastAsia"/>
          <w:szCs w:val="21"/>
        </w:rPr>
        <w:lastRenderedPageBreak/>
        <w:t>理人应当在</w:t>
      </w:r>
      <w:r>
        <w:rPr>
          <w:rFonts w:ascii="宋体" w:hAnsi="宋体" w:cs="方正仿宋简体" w:hint="eastAsia"/>
          <w:szCs w:val="21"/>
        </w:rPr>
        <w:t>10</w:t>
      </w:r>
      <w:r>
        <w:rPr>
          <w:rFonts w:ascii="宋体" w:hAnsi="宋体" w:cs="方正仿宋简体" w:hint="eastAsia"/>
          <w:szCs w:val="21"/>
        </w:rPr>
        <w:t>个交易日内进行调整，但中国证监会规定的特殊情形除</w:t>
      </w:r>
      <w:r>
        <w:rPr>
          <w:rFonts w:ascii="宋体" w:hAnsi="宋体" w:cs="方正仿宋简体" w:hint="eastAsia"/>
          <w:szCs w:val="21"/>
        </w:rPr>
        <w:t>外。</w:t>
      </w:r>
      <w:r>
        <w:rPr>
          <w:rFonts w:ascii="宋体" w:hAnsi="宋体" w:hint="eastAsia"/>
          <w:bCs/>
          <w:szCs w:val="21"/>
        </w:rPr>
        <w:t>法律法规另有规定的，从其规定。</w:t>
      </w:r>
    </w:p>
    <w:p w:rsidR="00175D68" w:rsidRDefault="005D0F16">
      <w:pPr>
        <w:widowControl/>
        <w:spacing w:line="360" w:lineRule="auto"/>
        <w:ind w:firstLineChars="200" w:firstLine="420"/>
        <w:contextualSpacing/>
        <w:rPr>
          <w:rFonts w:hAnsi="宋体"/>
          <w:kern w:val="0"/>
          <w:szCs w:val="21"/>
        </w:rPr>
      </w:pPr>
      <w:r>
        <w:rPr>
          <w:rFonts w:hAnsi="宋体" w:hint="eastAsia"/>
          <w:kern w:val="0"/>
          <w:szCs w:val="21"/>
        </w:rPr>
        <w:t>基金管理人应当自基金合同生效之日起</w:t>
      </w:r>
      <w:r>
        <w:rPr>
          <w:rFonts w:hAnsi="宋体" w:hint="eastAsia"/>
          <w:kern w:val="0"/>
          <w:szCs w:val="21"/>
        </w:rPr>
        <w:t>6</w:t>
      </w:r>
      <w:r>
        <w:rPr>
          <w:rFonts w:hAnsi="宋体" w:hint="eastAsia"/>
          <w:kern w:val="0"/>
          <w:szCs w:val="21"/>
        </w:rPr>
        <w:t>个月内使基金的投资组合比例符合基金合同的有关约定。期间，基金的投资范围、投资策略应当符合基金合同的约定。基金托管人对基金的投资的监督与检查自基金合同生效之日起开始。</w:t>
      </w:r>
    </w:p>
    <w:p w:rsidR="00175D68" w:rsidRDefault="005D0F16">
      <w:pPr>
        <w:widowControl/>
        <w:spacing w:line="360" w:lineRule="auto"/>
        <w:ind w:firstLineChars="200" w:firstLine="420"/>
        <w:contextualSpacing/>
        <w:rPr>
          <w:rFonts w:hAnsi="宋体"/>
          <w:kern w:val="0"/>
          <w:szCs w:val="21"/>
        </w:rPr>
      </w:pPr>
      <w:r>
        <w:rPr>
          <w:rFonts w:hAnsi="宋体" w:hint="eastAsia"/>
          <w:szCs w:val="21"/>
        </w:rPr>
        <w:t>如果法律法规或监管部门对上述投资组合比例限制进行变更的，以变更后的规定为准。法律法规或监管部门取消上述限制，如适用于本基金，基金管理人在履行适当程序后，则本基金投资不再受相关限制，自动遵守届时有效的法律法规或监管规定，不需另行召开基金份额持有人大会。</w:t>
      </w:r>
    </w:p>
    <w:p w:rsidR="00175D68" w:rsidRDefault="005D0F16">
      <w:pPr>
        <w:widowControl/>
        <w:spacing w:line="360" w:lineRule="auto"/>
        <w:ind w:firstLineChars="200" w:firstLine="420"/>
        <w:contextualSpacing/>
        <w:rPr>
          <w:rFonts w:hAnsi="宋体"/>
          <w:kern w:val="0"/>
          <w:szCs w:val="21"/>
        </w:rPr>
      </w:pPr>
      <w:r>
        <w:rPr>
          <w:rFonts w:hAnsi="宋体"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w:t>
      </w:r>
      <w:r>
        <w:rPr>
          <w:rFonts w:hAnsi="宋体"/>
          <w:kern w:val="0"/>
          <w:szCs w:val="21"/>
        </w:rPr>
        <w:t>份额</w:t>
      </w:r>
      <w:r>
        <w:rPr>
          <w:rFonts w:hAnsi="宋体" w:hint="eastAsia"/>
          <w:kern w:val="0"/>
          <w:szCs w:val="21"/>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75D68" w:rsidRDefault="005D0F16">
      <w:pPr>
        <w:adjustRightInd w:val="0"/>
        <w:snapToGrid w:val="0"/>
        <w:spacing w:before="100" w:beforeAutospacing="1" w:after="100" w:afterAutospacing="1" w:line="400" w:lineRule="exact"/>
        <w:ind w:firstLineChars="200" w:firstLine="420"/>
        <w:rPr>
          <w:rFonts w:ascii="宋体" w:hAnsi="宋体" w:cs="方正仿宋简体"/>
          <w:szCs w:val="21"/>
        </w:rPr>
      </w:pPr>
      <w:r>
        <w:rPr>
          <w:rFonts w:ascii="宋体" w:hAnsi="宋体" w:cs="方正仿宋简体" w:hint="eastAsia"/>
          <w:szCs w:val="21"/>
        </w:rPr>
        <w:t>（二）基金托管人应根据有</w:t>
      </w:r>
      <w:r>
        <w:rPr>
          <w:rFonts w:ascii="宋体" w:hAnsi="宋体" w:cs="方正仿宋简体" w:hint="eastAsia"/>
          <w:szCs w:val="21"/>
        </w:rPr>
        <w:t>关法律法规的规定及</w:t>
      </w:r>
      <w:r>
        <w:rPr>
          <w:rFonts w:ascii="宋体" w:hAnsi="宋体" w:hint="eastAsia"/>
          <w:szCs w:val="21"/>
        </w:rPr>
        <w:t>《基金合同》</w:t>
      </w:r>
      <w:r>
        <w:rPr>
          <w:rFonts w:ascii="宋体" w:hAnsi="宋体" w:cs="方正仿宋简体" w:hint="eastAsia"/>
          <w:szCs w:val="21"/>
        </w:rPr>
        <w:t>的约定，对基金资产净值计算、基金份额净值计算、应收资金到账、基金费用开支及收入确定、基金收益分配、相关信息披露登载基金业绩表现数据等进行复核。</w:t>
      </w:r>
    </w:p>
    <w:p w:rsidR="00175D68" w:rsidRDefault="005D0F16">
      <w:pPr>
        <w:adjustRightInd w:val="0"/>
        <w:snapToGrid w:val="0"/>
        <w:spacing w:before="100" w:beforeAutospacing="1" w:after="100" w:afterAutospacing="1" w:line="400" w:lineRule="exact"/>
        <w:ind w:firstLineChars="200" w:firstLine="420"/>
        <w:rPr>
          <w:rFonts w:ascii="宋体" w:hAnsi="宋体"/>
          <w:szCs w:val="21"/>
        </w:rPr>
      </w:pPr>
      <w:r>
        <w:rPr>
          <w:rFonts w:ascii="宋体" w:hAnsi="宋体" w:cs="方正仿宋简体" w:hint="eastAsia"/>
          <w:szCs w:val="21"/>
        </w:rPr>
        <w:t>（三）基金托管人在上述第（一）、（二）款的监督和核查中发现基金管理人违反上述</w:t>
      </w:r>
      <w:r>
        <w:rPr>
          <w:rFonts w:ascii="宋体" w:hAnsi="宋体" w:hint="eastAsia"/>
          <w:szCs w:val="21"/>
        </w:rPr>
        <w:t>约定</w:t>
      </w:r>
      <w:r>
        <w:rPr>
          <w:rFonts w:ascii="宋体" w:hAnsi="宋体" w:cs="方正仿宋简体" w:hint="eastAsia"/>
          <w:szCs w:val="21"/>
        </w:rPr>
        <w:t>，</w:t>
      </w:r>
      <w:r>
        <w:rPr>
          <w:rFonts w:ascii="宋体" w:hAnsi="宋体" w:hint="eastAsia"/>
          <w:szCs w:val="21"/>
        </w:rPr>
        <w:t>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175D68" w:rsidRDefault="005D0F16">
      <w:pPr>
        <w:adjustRightInd w:val="0"/>
        <w:snapToGrid w:val="0"/>
        <w:spacing w:before="100" w:beforeAutospacing="1" w:after="100" w:afterAutospacing="1" w:line="400" w:lineRule="exact"/>
        <w:ind w:firstLineChars="200" w:firstLine="420"/>
        <w:rPr>
          <w:rFonts w:ascii="宋体" w:hAnsi="宋体"/>
          <w:szCs w:val="21"/>
        </w:rPr>
      </w:pPr>
      <w:r>
        <w:rPr>
          <w:rFonts w:ascii="宋体" w:hAnsi="宋体" w:cs="方正仿宋简体" w:hint="eastAsia"/>
          <w:szCs w:val="21"/>
        </w:rPr>
        <w:t>（四）基金托管人发现基金管理人的投资指令违反法律法规、本协议的规定，</w:t>
      </w:r>
      <w:r>
        <w:rPr>
          <w:rFonts w:ascii="宋体" w:hAnsi="宋体" w:hint="eastAsia"/>
          <w:szCs w:val="21"/>
        </w:rPr>
        <w:t>应当拒绝执行，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rsidR="00175D68" w:rsidRDefault="005D0F16">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szCs w:val="21"/>
        </w:rPr>
        <w:t>（五）基金管理人应积极配合和协助基金托管人的监督和核查，包括但不限于：在规定时间内答复基金托管人并改正，就基金托管人的疑义进行解释或举证，提供相关数据资料和</w:t>
      </w:r>
      <w:r>
        <w:rPr>
          <w:rFonts w:ascii="宋体" w:hAnsi="宋体" w:cs="方正仿宋简体" w:hint="eastAsia"/>
          <w:szCs w:val="21"/>
        </w:rPr>
        <w:lastRenderedPageBreak/>
        <w:t>制度等。</w:t>
      </w:r>
    </w:p>
    <w:p w:rsidR="00175D68" w:rsidRDefault="00175D68">
      <w:pPr>
        <w:spacing w:before="100" w:beforeAutospacing="1" w:after="100" w:afterAutospacing="1" w:line="400" w:lineRule="exact"/>
        <w:ind w:firstLine="420"/>
        <w:rPr>
          <w:rFonts w:ascii="宋体" w:hAnsi="宋体"/>
          <w:szCs w:val="21"/>
        </w:rPr>
      </w:pPr>
    </w:p>
    <w:p w:rsidR="00175D68" w:rsidRDefault="005D0F16">
      <w:pPr>
        <w:pStyle w:val="1"/>
        <w:spacing w:before="100" w:beforeAutospacing="1" w:after="100" w:afterAutospacing="1" w:line="400" w:lineRule="exact"/>
        <w:ind w:firstLine="422"/>
        <w:rPr>
          <w:rFonts w:ascii="宋体" w:hAnsi="宋体"/>
          <w:sz w:val="21"/>
          <w:szCs w:val="21"/>
        </w:rPr>
      </w:pPr>
      <w:r>
        <w:rPr>
          <w:rFonts w:ascii="宋体" w:hAnsi="宋体" w:hint="eastAsia"/>
          <w:sz w:val="21"/>
          <w:szCs w:val="21"/>
        </w:rPr>
        <w:t>四、基金管理人对基金托管人的业务核查</w:t>
      </w:r>
    </w:p>
    <w:p w:rsidR="00175D68" w:rsidRDefault="005D0F16">
      <w:pPr>
        <w:adjustRightInd w:val="0"/>
        <w:snapToGrid w:val="0"/>
        <w:spacing w:before="100" w:beforeAutospacing="1" w:after="100" w:afterAutospacing="1"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、在本协议的有</w:t>
      </w:r>
      <w:r>
        <w:rPr>
          <w:rFonts w:ascii="宋体" w:hAnsi="宋体" w:hint="eastAsia"/>
          <w:szCs w:val="21"/>
        </w:rPr>
        <w:t>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等</w:t>
      </w:r>
      <w:r>
        <w:rPr>
          <w:rFonts w:ascii="宋体" w:hAnsi="宋体"/>
          <w:szCs w:val="21"/>
        </w:rPr>
        <w:t>投资所需账户</w:t>
      </w:r>
      <w:r>
        <w:rPr>
          <w:rFonts w:ascii="宋体" w:hAnsi="宋体" w:hint="eastAsia"/>
          <w:szCs w:val="21"/>
        </w:rPr>
        <w:t>、复核基金管理人计算的基金资产净值和基金份额净值、根据基金管理人指令办理清算交收、相关信息披露和监督基金投资运作等行为。</w:t>
      </w:r>
    </w:p>
    <w:p w:rsidR="00175D68" w:rsidRDefault="005D0F16">
      <w:pPr>
        <w:adjustRightInd w:val="0"/>
        <w:snapToGrid w:val="0"/>
        <w:spacing w:before="100" w:beforeAutospacing="1" w:after="100" w:afterAutospacing="1"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、基金管理人发现基金托管人擅自挪用基金财产、未对基金财产实行分账管理、无正当理由未执行或延迟执行基金管理人资金划拨指令、泄露基金投资信息等违反法</w:t>
      </w:r>
      <w:r>
        <w:rPr>
          <w:rFonts w:ascii="宋体" w:hAnsi="宋体" w:hint="eastAsia"/>
          <w:szCs w:val="21"/>
        </w:rPr>
        <w:t>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rsidR="00175D68" w:rsidRDefault="005D0F16">
      <w:pPr>
        <w:adjustRightInd w:val="0"/>
        <w:snapToGrid w:val="0"/>
        <w:spacing w:before="100" w:beforeAutospacing="1" w:after="100" w:afterAutospacing="1"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、基金托管人应积极配合基金管理人的核查行为，包括但不限于：提交相关资料以供基金管理人核查托管财产的完整性和真实性，在规定时间内答复基金管理人并改正。</w:t>
      </w:r>
    </w:p>
    <w:p w:rsidR="00175D68" w:rsidRDefault="005D0F16">
      <w:pPr>
        <w:pStyle w:val="1"/>
        <w:spacing w:before="100" w:beforeAutospacing="1" w:after="100" w:afterAutospacing="1" w:line="400" w:lineRule="exact"/>
        <w:ind w:firstLine="422"/>
        <w:rPr>
          <w:rFonts w:ascii="宋体" w:hAnsi="宋体"/>
          <w:sz w:val="21"/>
          <w:szCs w:val="21"/>
        </w:rPr>
      </w:pPr>
      <w:bookmarkStart w:id="11" w:name="_Toc116900099"/>
      <w:r>
        <w:rPr>
          <w:rFonts w:ascii="宋体" w:hAnsi="宋体" w:hint="eastAsia"/>
          <w:sz w:val="21"/>
          <w:szCs w:val="21"/>
        </w:rPr>
        <w:t>五、基金财产的保管</w:t>
      </w:r>
      <w:bookmarkEnd w:id="11"/>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（一）基金财产保管的原则</w:t>
      </w:r>
    </w:p>
    <w:p w:rsidR="00175D68" w:rsidRDefault="005D0F16">
      <w:pPr>
        <w:adjustRightInd w:val="0"/>
        <w:snapToGrid w:val="0"/>
        <w:spacing w:before="100" w:beforeAutospacing="1" w:after="100" w:afterAutospacing="1"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cs="方正仿宋简体" w:hint="eastAsia"/>
          <w:szCs w:val="21"/>
        </w:rPr>
        <w:t>基金财产应独立于基金管理人、基金托管人的固有财产。</w:t>
      </w:r>
    </w:p>
    <w:p w:rsidR="00175D68" w:rsidRDefault="005D0F16">
      <w:pPr>
        <w:adjustRightInd w:val="0"/>
        <w:snapToGrid w:val="0"/>
        <w:spacing w:before="100" w:beforeAutospacing="1" w:after="100" w:afterAutospacing="1" w:line="400" w:lineRule="exact"/>
        <w:ind w:firstLineChars="200" w:firstLine="420"/>
        <w:rPr>
          <w:rFonts w:ascii="宋体" w:hAnsi="宋体"/>
          <w:szCs w:val="21"/>
        </w:rPr>
      </w:pPr>
      <w:r>
        <w:rPr>
          <w:rFonts w:ascii="宋体" w:hAnsi="宋体" w:cs="方正仿宋简体" w:hint="eastAsia"/>
          <w:szCs w:val="21"/>
        </w:rPr>
        <w:t>2</w:t>
      </w:r>
      <w:r>
        <w:rPr>
          <w:rFonts w:ascii="宋体" w:hAnsi="宋体" w:cs="方正仿宋简体" w:hint="eastAsia"/>
          <w:szCs w:val="21"/>
        </w:rPr>
        <w:t>、基金托管人应安全保管基金财产，</w:t>
      </w:r>
      <w:r>
        <w:rPr>
          <w:rFonts w:ascii="宋体" w:hAnsi="宋体" w:hint="eastAsia"/>
          <w:szCs w:val="21"/>
        </w:rPr>
        <w:t>未经基金管理人的合法合规指令或法律法规、《基金合同》及本协议另有规定，不得自行运用、处分、分配基金的任何财产。</w:t>
      </w:r>
    </w:p>
    <w:p w:rsidR="00175D68" w:rsidRDefault="005D0F16">
      <w:pPr>
        <w:adjustRightInd w:val="0"/>
        <w:snapToGrid w:val="0"/>
        <w:spacing w:before="100" w:beforeAutospacing="1" w:after="100" w:afterAutospacing="1" w:line="400" w:lineRule="exact"/>
        <w:ind w:firstLineChars="200" w:firstLine="420"/>
        <w:rPr>
          <w:rFonts w:ascii="宋体" w:hAnsi="宋体"/>
          <w:color w:val="FF0000"/>
          <w:szCs w:val="21"/>
        </w:rPr>
      </w:pPr>
      <w:r>
        <w:rPr>
          <w:rFonts w:ascii="宋体" w:hAnsi="宋体" w:cs="方正仿宋简体" w:hint="eastAsia"/>
          <w:szCs w:val="21"/>
        </w:rPr>
        <w:t>3</w:t>
      </w:r>
      <w:r>
        <w:rPr>
          <w:rFonts w:ascii="宋体" w:hAnsi="宋体" w:cs="方正仿宋简体" w:hint="eastAsia"/>
          <w:szCs w:val="21"/>
        </w:rPr>
        <w:t>、基金托管人按照规定开设基金财产的资金账户和证券账户等投资所需账户。</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cs="方正仿宋简体" w:hint="eastAsia"/>
          <w:sz w:val="21"/>
          <w:szCs w:val="21"/>
        </w:rPr>
        <w:t>4</w:t>
      </w:r>
      <w:r>
        <w:rPr>
          <w:rFonts w:ascii="宋体" w:eastAsia="宋体" w:cs="方正仿宋简体" w:hint="eastAsia"/>
          <w:sz w:val="21"/>
          <w:szCs w:val="21"/>
        </w:rPr>
        <w:t>、基金托管人对所托管的不同基金财产分别设置账户，确保基金财产的完整与独立。</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5</w:t>
      </w:r>
      <w:r>
        <w:rPr>
          <w:rFonts w:ascii="宋体" w:eastAsia="宋体" w:hint="eastAsia"/>
          <w:color w:val="auto"/>
          <w:sz w:val="21"/>
          <w:szCs w:val="21"/>
        </w:rPr>
        <w:t>、除依据《基金法》、《运作办法》、《基金合同》及其他有关法律法规规定外，基金托管人不得委托第三人托管基金财产。</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lastRenderedPageBreak/>
        <w:t>（二）基金合同生效前募集资金的验资和入账</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w:t>
      </w:r>
      <w:r>
        <w:rPr>
          <w:rFonts w:ascii="宋体" w:eastAsia="宋体" w:hint="eastAsia"/>
          <w:color w:val="auto"/>
          <w:sz w:val="21"/>
          <w:szCs w:val="21"/>
        </w:rPr>
        <w:t>、基金募集期满或基金管理人宣布停止募集时，</w:t>
      </w:r>
      <w:r>
        <w:rPr>
          <w:rFonts w:ascii="宋体" w:eastAsia="宋体" w:cs="方正仿宋简体" w:hint="eastAsia"/>
          <w:sz w:val="21"/>
          <w:szCs w:val="21"/>
        </w:rPr>
        <w:t>募集的基金份额总额、基金募集金额、基金份额持有人人数符合《基金法》、《运作办法》等有关规定的，</w:t>
      </w:r>
      <w:r>
        <w:rPr>
          <w:rFonts w:ascii="宋体" w:eastAsia="宋体" w:hint="eastAsia"/>
          <w:color w:val="auto"/>
          <w:sz w:val="21"/>
          <w:szCs w:val="21"/>
        </w:rPr>
        <w:t>由基金管理人在法定期限内聘请具有从事相关业务资格的会计师事务所对基金进行验资，并出具验资报告，出具的验资报告应由参加验资的</w:t>
      </w:r>
      <w:r>
        <w:rPr>
          <w:rFonts w:ascii="宋体" w:eastAsia="宋体"/>
          <w:color w:val="auto"/>
          <w:sz w:val="21"/>
          <w:szCs w:val="21"/>
        </w:rPr>
        <w:t>2</w:t>
      </w:r>
      <w:r>
        <w:rPr>
          <w:rFonts w:ascii="宋体" w:eastAsia="宋体" w:hint="eastAsia"/>
          <w:color w:val="auto"/>
          <w:sz w:val="21"/>
          <w:szCs w:val="21"/>
        </w:rPr>
        <w:t>名以上（含</w:t>
      </w:r>
      <w:r>
        <w:rPr>
          <w:rFonts w:ascii="宋体" w:eastAsia="宋体"/>
          <w:color w:val="auto"/>
          <w:sz w:val="21"/>
          <w:szCs w:val="21"/>
        </w:rPr>
        <w:t>2</w:t>
      </w:r>
      <w:r>
        <w:rPr>
          <w:rFonts w:ascii="宋体" w:eastAsia="宋体" w:hint="eastAsia"/>
          <w:color w:val="auto"/>
          <w:sz w:val="21"/>
          <w:szCs w:val="21"/>
        </w:rPr>
        <w:t>名）中国注册会计师签字方为有效。</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sz w:val="21"/>
          <w:szCs w:val="21"/>
        </w:rPr>
        <w:t>2</w:t>
      </w:r>
      <w:r>
        <w:rPr>
          <w:rFonts w:ascii="宋体" w:eastAsia="宋体" w:hint="eastAsia"/>
          <w:sz w:val="21"/>
          <w:szCs w:val="21"/>
        </w:rPr>
        <w:t>、基金管理人应将属于本基金财产的全部资金划入在基金托管人处为本基金开立的基金银行账户中，并确保划入的资金与验资确认金额相一致。</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（三）基金的银行账户的开设和管理</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w:t>
      </w:r>
      <w:r>
        <w:rPr>
          <w:rFonts w:ascii="宋体" w:eastAsia="宋体" w:hint="eastAsia"/>
          <w:color w:val="auto"/>
          <w:sz w:val="21"/>
          <w:szCs w:val="21"/>
        </w:rPr>
        <w:t>、基金托管人应负责本基金的银行账户的开设和管理。</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2</w:t>
      </w:r>
      <w:r>
        <w:rPr>
          <w:rFonts w:ascii="宋体" w:eastAsia="宋体" w:hint="eastAsia"/>
          <w:color w:val="auto"/>
          <w:sz w:val="21"/>
          <w:szCs w:val="21"/>
        </w:rPr>
        <w:t>、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3</w:t>
      </w:r>
      <w:r>
        <w:rPr>
          <w:rFonts w:ascii="宋体" w:eastAsia="宋体" w:hint="eastAsia"/>
          <w:color w:val="auto"/>
          <w:sz w:val="21"/>
          <w:szCs w:val="21"/>
        </w:rPr>
        <w:t>、本基金银行账户的开立和使用，限于满足开展本基金业务的需要。基金托管人和基金管理人不得假借本基金的名义开立其他任何银行账户；亦不得使用本基金的银行账户进行本基金业务以外的活动。</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4</w:t>
      </w:r>
      <w:r>
        <w:rPr>
          <w:rFonts w:ascii="宋体" w:eastAsia="宋体" w:hint="eastAsia"/>
          <w:color w:val="auto"/>
          <w:sz w:val="21"/>
          <w:szCs w:val="21"/>
        </w:rPr>
        <w:t>、基金银行账户的管理应符合法律法规的有关规定。</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（四）基金进行定期存</w:t>
      </w:r>
      <w:r>
        <w:rPr>
          <w:rFonts w:ascii="宋体" w:eastAsia="宋体" w:hint="eastAsia"/>
          <w:color w:val="auto"/>
          <w:sz w:val="21"/>
          <w:szCs w:val="21"/>
        </w:rPr>
        <w:t>款投资的账户开设和管理</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（五）基金证券账户、结算备付金账户及其他投资账户的开设和管理</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w:t>
      </w:r>
      <w:r>
        <w:rPr>
          <w:rFonts w:ascii="宋体" w:eastAsia="宋体" w:hint="eastAsia"/>
          <w:color w:val="auto"/>
          <w:sz w:val="21"/>
          <w:szCs w:val="21"/>
        </w:rPr>
        <w:t>、基金托管人应当代表本基金，以基金托管人和本基金联名的方式在中国证券登记结算有限责任公司开设证券账户。</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2</w:t>
      </w:r>
      <w:r>
        <w:rPr>
          <w:rFonts w:ascii="宋体" w:eastAsia="宋体" w:hint="eastAsia"/>
          <w:color w:val="auto"/>
          <w:sz w:val="21"/>
          <w:szCs w:val="21"/>
        </w:rPr>
        <w:t>、本基金证券账户的开立和使用，限于满足开展本基金业务的需要。基金托管人和基金管理人不得出借或转</w:t>
      </w:r>
      <w:r>
        <w:rPr>
          <w:rFonts w:ascii="宋体" w:eastAsia="宋体" w:hint="eastAsia"/>
          <w:color w:val="auto"/>
          <w:sz w:val="21"/>
          <w:szCs w:val="21"/>
        </w:rPr>
        <w:t>让本基金的证券账户，亦不得使用本基金的证券账户进行本基金业务以外的活动。</w:t>
      </w:r>
    </w:p>
    <w:p w:rsidR="00175D68" w:rsidRDefault="005D0F16">
      <w:pPr>
        <w:pStyle w:val="a9"/>
        <w:spacing w:before="100" w:beforeAutospacing="1" w:after="100" w:afterAutospacing="1"/>
        <w:ind w:firstLine="403"/>
        <w:rPr>
          <w:rFonts w:ascii="宋体" w:eastAsia="宋体"/>
          <w:sz w:val="21"/>
          <w:szCs w:val="21"/>
        </w:rPr>
      </w:pPr>
      <w:r>
        <w:rPr>
          <w:rFonts w:ascii="宋体" w:eastAsia="宋体" w:hint="eastAsia"/>
          <w:sz w:val="21"/>
          <w:szCs w:val="21"/>
        </w:rPr>
        <w:lastRenderedPageBreak/>
        <w:t>3</w:t>
      </w:r>
      <w:r>
        <w:rPr>
          <w:rFonts w:ascii="宋体" w:eastAsia="宋体" w:hint="eastAsia"/>
          <w:sz w:val="21"/>
          <w:szCs w:val="21"/>
        </w:rPr>
        <w:t>、</w:t>
      </w:r>
      <w:r>
        <w:rPr>
          <w:rFonts w:ascii="宋体" w:eastAsia="宋体"/>
          <w:sz w:val="21"/>
          <w:szCs w:val="21"/>
        </w:rPr>
        <w:t>基金托管人以自身法人名义在中国证券登记结算</w:t>
      </w:r>
      <w:r>
        <w:rPr>
          <w:rFonts w:ascii="宋体" w:eastAsia="宋体" w:hint="eastAsia"/>
          <w:sz w:val="21"/>
          <w:szCs w:val="21"/>
        </w:rPr>
        <w:t>有限责任</w:t>
      </w:r>
      <w:r>
        <w:rPr>
          <w:rFonts w:ascii="宋体" w:eastAsia="宋体"/>
          <w:sz w:val="21"/>
          <w:szCs w:val="21"/>
        </w:rPr>
        <w:t>公司开立结算备付金账户，用于办理基金托管人所托管的</w:t>
      </w:r>
      <w:r>
        <w:rPr>
          <w:rFonts w:ascii="宋体" w:eastAsia="宋体" w:hint="eastAsia"/>
          <w:sz w:val="21"/>
          <w:szCs w:val="21"/>
        </w:rPr>
        <w:t>包括本基金在内的</w:t>
      </w:r>
      <w:r>
        <w:rPr>
          <w:rFonts w:ascii="宋体" w:eastAsia="宋体"/>
          <w:sz w:val="21"/>
          <w:szCs w:val="21"/>
        </w:rPr>
        <w:t>全部基金在证券交易所进行证券投资所涉及的资金结算业务。结算备付金的收取按照中国证券登记结算</w:t>
      </w:r>
      <w:r>
        <w:rPr>
          <w:rFonts w:ascii="宋体" w:eastAsia="宋体" w:hint="eastAsia"/>
          <w:sz w:val="21"/>
          <w:szCs w:val="21"/>
        </w:rPr>
        <w:t>有限责任</w:t>
      </w:r>
      <w:r>
        <w:rPr>
          <w:rFonts w:ascii="宋体" w:eastAsia="宋体"/>
          <w:sz w:val="21"/>
          <w:szCs w:val="21"/>
        </w:rPr>
        <w:t>公司的规定执行。</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sz w:val="21"/>
          <w:szCs w:val="21"/>
        </w:rPr>
        <w:t>4</w:t>
      </w:r>
      <w:r>
        <w:rPr>
          <w:rFonts w:ascii="宋体" w:eastAsia="宋体" w:hint="eastAsia"/>
          <w:sz w:val="21"/>
          <w:szCs w:val="21"/>
        </w:rPr>
        <w:t>、</w:t>
      </w:r>
      <w:r>
        <w:rPr>
          <w:rFonts w:ascii="宋体" w:eastAsia="宋体" w:hint="eastAsia"/>
          <w:color w:val="auto"/>
          <w:sz w:val="21"/>
          <w:szCs w:val="21"/>
        </w:rPr>
        <w:t>在本托管协议生效日之后，本基金被允许从事其他投资品种的投资业务的，涉及相关账户的开设、使用的，若无相关规定，则基金托管人应当比照并遵守上述关于账户开设、使用的规定。</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（六）债券托管专户的开设和管理</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并代表基金进行银行间债券市场债券和资金的清算。</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（七）基金财产投资的有关有价凭证的保管</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基金财产投资的实物证券、银行定期存款存单等有价凭证由基金托管人负责妥善保管。基金托管人对其以外机构实际有效控制的有价凭证不承担责任。</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w:t>
      </w:r>
      <w:r>
        <w:rPr>
          <w:rFonts w:ascii="宋体" w:eastAsia="宋体" w:hint="eastAsia"/>
          <w:color w:val="auto"/>
          <w:sz w:val="21"/>
          <w:szCs w:val="21"/>
        </w:rPr>
        <w:t>八）与基金财产有关的重大合同及有关凭证的保管</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基金托管人按照法律法规保管由基金管理人代表基金签署的与基金有关的重大合同及有关凭证。基金管理人代表基金签署有关重大合同后应在收到合同正本后</w:t>
      </w:r>
      <w:r>
        <w:rPr>
          <w:rFonts w:ascii="宋体" w:eastAsia="宋体" w:hint="eastAsia"/>
          <w:color w:val="auto"/>
          <w:sz w:val="21"/>
          <w:szCs w:val="21"/>
        </w:rPr>
        <w:t>30</w:t>
      </w:r>
      <w:r>
        <w:rPr>
          <w:rFonts w:ascii="宋体" w:eastAsia="宋体" w:hint="eastAsia"/>
          <w:color w:val="auto"/>
          <w:sz w:val="21"/>
          <w:szCs w:val="21"/>
        </w:rPr>
        <w:t>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w:t>
      </w:r>
      <w:r>
        <w:rPr>
          <w:rFonts w:ascii="宋体" w:eastAsia="宋体" w:hint="eastAsia"/>
          <w:color w:val="auto"/>
          <w:sz w:val="21"/>
          <w:szCs w:val="21"/>
        </w:rPr>
        <w:t>15</w:t>
      </w:r>
      <w:r>
        <w:rPr>
          <w:rFonts w:ascii="宋体" w:eastAsia="宋体" w:hint="eastAsia"/>
          <w:color w:val="auto"/>
          <w:sz w:val="21"/>
          <w:szCs w:val="21"/>
        </w:rPr>
        <w:t>年，但法律法规或监管部门另有规定的除外</w:t>
      </w:r>
      <w:r>
        <w:rPr>
          <w:rFonts w:ascii="宋体" w:eastAsia="宋体"/>
          <w:color w:val="auto"/>
          <w:sz w:val="21"/>
          <w:szCs w:val="21"/>
        </w:rPr>
        <w:t>。</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对于无法取得二份以上的正本的，基金管理</w:t>
      </w:r>
      <w:r>
        <w:rPr>
          <w:rFonts w:ascii="宋体" w:eastAsia="宋体" w:hint="eastAsia"/>
          <w:color w:val="auto"/>
          <w:sz w:val="21"/>
          <w:szCs w:val="21"/>
        </w:rPr>
        <w:t>人应向基金托管人提供与合同原件核对一致并加盖公章的合同复印件或传真件，未经双方协商一致，合同原件不得转移。</w:t>
      </w:r>
    </w:p>
    <w:p w:rsidR="00175D68" w:rsidRDefault="00175D68">
      <w:pPr>
        <w:pStyle w:val="a9"/>
        <w:spacing w:before="100" w:beforeAutospacing="1" w:after="100" w:afterAutospacing="1"/>
        <w:ind w:firstLineChars="0" w:firstLine="0"/>
        <w:rPr>
          <w:rFonts w:ascii="宋体" w:eastAsia="宋体"/>
          <w:color w:val="auto"/>
          <w:sz w:val="21"/>
          <w:szCs w:val="21"/>
        </w:rPr>
      </w:pPr>
    </w:p>
    <w:p w:rsidR="00175D68" w:rsidRDefault="005D0F16">
      <w:pPr>
        <w:pStyle w:val="1"/>
        <w:spacing w:before="100" w:beforeAutospacing="1" w:after="100" w:afterAutospacing="1" w:line="400" w:lineRule="exact"/>
        <w:ind w:firstLine="422"/>
        <w:rPr>
          <w:rFonts w:ascii="宋体" w:hAnsi="宋体"/>
          <w:sz w:val="21"/>
          <w:szCs w:val="21"/>
        </w:rPr>
      </w:pPr>
      <w:bookmarkStart w:id="12" w:name="_Toc116900100"/>
      <w:r>
        <w:rPr>
          <w:rFonts w:ascii="宋体" w:hAnsi="宋体" w:hint="eastAsia"/>
          <w:sz w:val="21"/>
          <w:szCs w:val="21"/>
        </w:rPr>
        <w:t>六、指令的发送、确认及执行</w:t>
      </w:r>
      <w:bookmarkEnd w:id="12"/>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基金管理人发送的指令包括电子指令和纸质指令。</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lastRenderedPageBreak/>
        <w:t>电子指令包括基金管理人发送的电子指令（采用深证通金融数据交换平台发送的电子指令、采用</w:t>
      </w:r>
      <w:r>
        <w:rPr>
          <w:rFonts w:ascii="宋体" w:eastAsia="宋体" w:hint="eastAsia"/>
          <w:color w:val="auto"/>
          <w:sz w:val="21"/>
          <w:szCs w:val="21"/>
        </w:rPr>
        <w:t>SWIFT</w:t>
      </w:r>
      <w:r>
        <w:rPr>
          <w:rFonts w:ascii="宋体" w:eastAsia="宋体" w:hint="eastAsia"/>
          <w:color w:val="auto"/>
          <w:sz w:val="21"/>
          <w:szCs w:val="21"/>
        </w:rPr>
        <w:t>电子报文发送的电子指令、通过中国银行托管网银发送的电子指令）、自动产生的电子指令（基金托管人的全球托管系统根据基金管理人的授权通过预先设定的业务规则自动产生的电子指令）。电子指令一经发出即被视为合法有效指令，传真纸质指令作为应急方式备</w:t>
      </w:r>
      <w:r>
        <w:rPr>
          <w:rFonts w:ascii="宋体" w:eastAsia="宋体" w:hint="eastAsia"/>
          <w:color w:val="auto"/>
          <w:sz w:val="21"/>
          <w:szCs w:val="21"/>
        </w:rPr>
        <w:t>用。基金管理人通过深证通金融数据交换平台发送的电子指令，基金托管人根据</w:t>
      </w:r>
      <w:r>
        <w:rPr>
          <w:rFonts w:ascii="宋体" w:eastAsia="宋体" w:hint="eastAsia"/>
          <w:color w:val="auto"/>
          <w:sz w:val="21"/>
          <w:szCs w:val="21"/>
        </w:rPr>
        <w:t>USER ID</w:t>
      </w:r>
      <w:r>
        <w:rPr>
          <w:rFonts w:ascii="宋体" w:eastAsia="宋体" w:hint="eastAsia"/>
          <w:color w:val="auto"/>
          <w:sz w:val="21"/>
          <w:szCs w:val="21"/>
        </w:rPr>
        <w:t>和</w:t>
      </w:r>
      <w:r>
        <w:rPr>
          <w:rFonts w:ascii="宋体" w:eastAsia="宋体" w:hint="eastAsia"/>
          <w:color w:val="auto"/>
          <w:sz w:val="21"/>
          <w:szCs w:val="21"/>
        </w:rPr>
        <w:t>APP ID</w:t>
      </w:r>
      <w:r>
        <w:rPr>
          <w:rFonts w:ascii="宋体" w:eastAsia="宋体" w:hint="eastAsia"/>
          <w:color w:val="auto"/>
          <w:sz w:val="21"/>
          <w:szCs w:val="21"/>
        </w:rPr>
        <w:t>唯一识别基金管理人身份，基金管理人应妥善保管</w:t>
      </w:r>
      <w:r>
        <w:rPr>
          <w:rFonts w:ascii="宋体" w:eastAsia="宋体" w:hint="eastAsia"/>
          <w:color w:val="auto"/>
          <w:sz w:val="21"/>
          <w:szCs w:val="21"/>
        </w:rPr>
        <w:t>USER ID</w:t>
      </w:r>
      <w:r>
        <w:rPr>
          <w:rFonts w:ascii="宋体" w:eastAsia="宋体" w:hint="eastAsia"/>
          <w:color w:val="auto"/>
          <w:sz w:val="21"/>
          <w:szCs w:val="21"/>
        </w:rPr>
        <w:t>和</w:t>
      </w:r>
      <w:r>
        <w:rPr>
          <w:rFonts w:ascii="宋体" w:eastAsia="宋体" w:hint="eastAsia"/>
          <w:color w:val="auto"/>
          <w:sz w:val="21"/>
          <w:szCs w:val="21"/>
        </w:rPr>
        <w:t>APP ID</w:t>
      </w:r>
      <w:r>
        <w:rPr>
          <w:rFonts w:ascii="宋体" w:eastAsia="宋体" w:hint="eastAsia"/>
          <w:color w:val="auto"/>
          <w:sz w:val="21"/>
          <w:szCs w:val="21"/>
        </w:rPr>
        <w:t>，基金托管人身份识别后对于执行该电子指令造成的任何损失基金托管人不承担责任。</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（一）基金管理人对发送纸质指令人员的书面授权</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w:t>
      </w:r>
      <w:r>
        <w:rPr>
          <w:rFonts w:ascii="宋体" w:eastAsia="宋体" w:hint="eastAsia"/>
          <w:color w:val="auto"/>
          <w:sz w:val="21"/>
          <w:szCs w:val="21"/>
        </w:rPr>
        <w:t>、基金管理人应当事先向基金托管人发出书面通知（以下称“授权通知”），载明基金管理人有权发送指令的人员名单（以下称“指令发送人员”）及各个人员的权限范围。基金管理人应向基金托管人提供指令发送人员的人名印鉴的预留印鉴样本和签字样本。</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2</w:t>
      </w:r>
      <w:r>
        <w:rPr>
          <w:rFonts w:ascii="宋体" w:eastAsia="宋体" w:hint="eastAsia"/>
          <w:color w:val="auto"/>
          <w:sz w:val="21"/>
          <w:szCs w:val="21"/>
        </w:rPr>
        <w:t>、基金管理人向基金托管人发出的授权通知应加盖公章并由法定代表人或其授权签字人签署，若由授权签字人签署，还应附上法定代表人的授权书。基金管理人向基金托管人发送授权通知后同时电话通知基金托管人。授权通知自基金托管人电话确认后于通知载明的生效时间起生效。通知载明的生效时间不得早于电话</w:t>
      </w:r>
      <w:r>
        <w:rPr>
          <w:rFonts w:ascii="宋体" w:eastAsia="宋体" w:hint="eastAsia"/>
          <w:color w:val="auto"/>
          <w:sz w:val="21"/>
          <w:szCs w:val="21"/>
        </w:rPr>
        <w:t>确认时间。基金管理人在此后</w:t>
      </w:r>
      <w:r>
        <w:rPr>
          <w:rFonts w:ascii="宋体" w:eastAsia="宋体" w:hint="eastAsia"/>
          <w:color w:val="auto"/>
          <w:sz w:val="21"/>
          <w:szCs w:val="21"/>
        </w:rPr>
        <w:t>3</w:t>
      </w:r>
      <w:r>
        <w:rPr>
          <w:rFonts w:ascii="宋体" w:eastAsia="宋体" w:hint="eastAsia"/>
          <w:color w:val="auto"/>
          <w:sz w:val="21"/>
          <w:szCs w:val="21"/>
        </w:rPr>
        <w:t>个工作日内将授权通知原件送交基金托管人。</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3</w:t>
      </w:r>
      <w:r>
        <w:rPr>
          <w:rFonts w:ascii="宋体" w:eastAsia="宋体" w:hint="eastAsia"/>
          <w:color w:val="auto"/>
          <w:sz w:val="21"/>
          <w:szCs w:val="21"/>
        </w:rPr>
        <w:t>、基金管理人和基金托管人对授权通知及其更改负有保密义务，其内容不得向指令发送人员及相关操作人员以外的任何人披露、泄露，但法律法规规定或有权机关要求的除外。</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（二）指令的内容</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指令是基金管理人在运作基金财产时，向基金托管人发出的资金划拨及投资指令。相关登记结算公司向基金托管人发送的结算通知视为基金管理人向基金托管人发出的指令。</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（三）指令的发送、确认和执行</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w:t>
      </w:r>
      <w:r>
        <w:rPr>
          <w:rFonts w:ascii="宋体" w:eastAsia="宋体" w:hint="eastAsia"/>
          <w:color w:val="auto"/>
          <w:sz w:val="21"/>
          <w:szCs w:val="21"/>
        </w:rPr>
        <w:t>、指令由“授权通知”确定的指令发送人员代表基金管理人用传真的方式或其他双方确认的</w:t>
      </w:r>
      <w:r>
        <w:rPr>
          <w:rFonts w:ascii="宋体" w:eastAsia="宋体" w:hint="eastAsia"/>
          <w:color w:val="auto"/>
          <w:sz w:val="21"/>
          <w:szCs w:val="21"/>
        </w:rPr>
        <w:t>方式向基金托管人发送。对于指令发送人员发出的指令，基金管理人不得否认其效力。但如果基金管理人已经撤销或更改对指令发送人员的授权，并且基金托管人已收到该通知，则对于此后该指令发送人员无权发送的指令，或超权限发送的指令，基金管理人不承担责任。</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2</w:t>
      </w:r>
      <w:r>
        <w:rPr>
          <w:rFonts w:ascii="宋体" w:eastAsia="宋体" w:hint="eastAsia"/>
          <w:color w:val="auto"/>
          <w:sz w:val="21"/>
          <w:szCs w:val="21"/>
        </w:rPr>
        <w:t>、基金管理人应按照《基金法》、《运作办法》、《基金合同》和有关法律法规的规定，在其合法的经营权限和交易权限内，并依据相关业务规则发送指令。指令发出后，基金管理</w:t>
      </w:r>
      <w:r>
        <w:rPr>
          <w:rFonts w:ascii="宋体" w:eastAsia="宋体" w:hint="eastAsia"/>
          <w:color w:val="auto"/>
          <w:sz w:val="21"/>
          <w:szCs w:val="21"/>
        </w:rPr>
        <w:lastRenderedPageBreak/>
        <w:t>人应及时电话通知基金托管人。</w:t>
      </w:r>
      <w:r>
        <w:rPr>
          <w:rFonts w:ascii="宋体" w:eastAsia="宋体" w:hint="eastAsia"/>
          <w:color w:val="auto"/>
          <w:sz w:val="21"/>
          <w:szCs w:val="21"/>
        </w:rPr>
        <w:t xml:space="preserve">    </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3</w:t>
      </w:r>
      <w:r>
        <w:rPr>
          <w:rFonts w:ascii="宋体" w:eastAsia="宋体" w:hint="eastAsia"/>
          <w:color w:val="auto"/>
          <w:sz w:val="21"/>
          <w:szCs w:val="21"/>
        </w:rPr>
        <w:t>、基金托管人在接受指令时，应对指令的要素是否齐全、印鉴是否与授权通知相符</w:t>
      </w:r>
      <w:r>
        <w:rPr>
          <w:rFonts w:ascii="宋体" w:eastAsia="宋体" w:hint="eastAsia"/>
          <w:color w:val="auto"/>
          <w:sz w:val="21"/>
          <w:szCs w:val="21"/>
        </w:rPr>
        <w:t>等进行表面真实性的检查，对合法合规的指令，基金托管人应在规定期限内执行，不得</w:t>
      </w:r>
      <w:r>
        <w:rPr>
          <w:rFonts w:ascii="宋体" w:eastAsia="宋体" w:hint="eastAsia"/>
          <w:sz w:val="21"/>
          <w:szCs w:val="21"/>
        </w:rPr>
        <w:t>不合理</w:t>
      </w:r>
      <w:r>
        <w:rPr>
          <w:rFonts w:ascii="宋体" w:eastAsia="宋体" w:hint="eastAsia"/>
          <w:color w:val="auto"/>
          <w:sz w:val="21"/>
          <w:szCs w:val="21"/>
        </w:rPr>
        <w:t>延误。</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4</w:t>
      </w:r>
      <w:r>
        <w:rPr>
          <w:rFonts w:ascii="宋体" w:eastAsia="宋体" w:hint="eastAsia"/>
          <w:color w:val="auto"/>
          <w:sz w:val="21"/>
          <w:szCs w:val="21"/>
        </w:rPr>
        <w:t>、基金管理人应在交易结束后将银行间同业市场债券交易成交单</w:t>
      </w:r>
      <w:r>
        <w:rPr>
          <w:rFonts w:ascii="宋体" w:eastAsia="宋体" w:hint="eastAsia"/>
          <w:sz w:val="21"/>
          <w:szCs w:val="21"/>
        </w:rPr>
        <w:t>经有权人员签字并</w:t>
      </w:r>
      <w:r>
        <w:rPr>
          <w:rFonts w:ascii="宋体" w:eastAsia="宋体" w:hint="eastAsia"/>
          <w:color w:val="auto"/>
          <w:sz w:val="21"/>
          <w:szCs w:val="21"/>
        </w:rPr>
        <w:t>加盖印章后及时传真给基金托管人。</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5</w:t>
      </w:r>
      <w:r>
        <w:rPr>
          <w:rFonts w:ascii="宋体" w:eastAsia="宋体" w:hint="eastAsia"/>
          <w:color w:val="auto"/>
          <w:sz w:val="21"/>
          <w:szCs w:val="21"/>
        </w:rPr>
        <w:t>、基金管理人在发送指令时，应为基金托管人执行指令留出执行指令时所必需的时间。</w:t>
      </w:r>
      <w:bookmarkStart w:id="13" w:name="OLE_LINK2"/>
      <w:bookmarkStart w:id="14" w:name="OLE_LINK1"/>
      <w:r>
        <w:rPr>
          <w:rFonts w:ascii="宋体" w:eastAsia="宋体" w:hint="eastAsia"/>
          <w:color w:val="auto"/>
          <w:sz w:val="21"/>
          <w:szCs w:val="21"/>
        </w:rPr>
        <w:t>指令传输不及时未能留出足够的执行时间，致使指令未能及时执行所造成的损失不由基金托管人承担。</w:t>
      </w:r>
      <w:bookmarkEnd w:id="13"/>
      <w:bookmarkEnd w:id="14"/>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（四）基金管理人发送错误指令的情形和处理程序</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基金管理人发送错误指令的情形主要包括：指令要素错误、无投资行为的指令、预留印鉴错误等情形。</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基金托</w:t>
      </w:r>
      <w:r>
        <w:rPr>
          <w:rFonts w:ascii="宋体" w:eastAsia="宋体" w:hint="eastAsia"/>
          <w:color w:val="auto"/>
          <w:sz w:val="21"/>
          <w:szCs w:val="21"/>
        </w:rPr>
        <w:t>管人发现基金管理人的指令错误时，有权拒绝执行，并及时通知基金管理人改正。对基金管理人更正并重新发送后的指令经基金托管人核对确认后方能执行。</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（五）基金托管人依照法律法规暂缓、拒绝执行指令的情形和处理程序</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托管人发现基金管理人的指令违反法律法规规定或者《基金合同》约定，应当视情况暂缓或不予执行，并及时通知基金管理人要求其变更或撤销相关指令，若基金管理人在基金托管人发出上述通知后仍未变更或撤销相关指令，基金托管人应当拒绝执行，并向中国证监会报告。</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基金管理人向基金托管人下达指令时，应确保基金的银行存款账户有</w:t>
      </w:r>
      <w:r>
        <w:rPr>
          <w:rFonts w:ascii="宋体" w:eastAsia="宋体" w:hint="eastAsia"/>
          <w:color w:val="auto"/>
          <w:sz w:val="21"/>
          <w:szCs w:val="21"/>
        </w:rPr>
        <w:t>足够的资金余额，确保基金的证券账户有足够的证券余额。对超头寸的指令，以及超过证券账户证券余额的指令，基金托管人可不予执行，但应及时通知基金管理人，由此造成的损失，由基金管理人承担。</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（六）基金托管人未按照基金管理人指令执行的处理方法</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托管人因未正确执行基金管理人合法合规的指令，致使本基金的利益受到损害，基金托管人应在发现后及时采取措施予以补救，并承担相应的责任。除此之外，基金托管人对执行基金管理人的合法合规指令对基金造成的损失不承担任何责任。</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lastRenderedPageBreak/>
        <w:t>（七）被授权人员及授权权限的变更</w:t>
      </w:r>
      <w:r>
        <w:rPr>
          <w:rFonts w:ascii="宋体" w:eastAsia="宋体"/>
          <w:color w:val="auto"/>
          <w:sz w:val="21"/>
          <w:szCs w:val="21"/>
        </w:rPr>
        <w:tab/>
      </w:r>
    </w:p>
    <w:p w:rsidR="00175D68" w:rsidRDefault="005D0F16">
      <w:pPr>
        <w:pStyle w:val="a9"/>
        <w:spacing w:before="100" w:beforeAutospacing="1" w:after="100" w:afterAutospacing="1" w:line="360" w:lineRule="auto"/>
        <w:ind w:firstLine="403"/>
        <w:rPr>
          <w:rFonts w:ascii="宋体" w:eastAsia="宋体"/>
          <w:color w:val="auto"/>
          <w:sz w:val="21"/>
          <w:szCs w:val="21"/>
        </w:rPr>
      </w:pPr>
      <w:r>
        <w:rPr>
          <w:rFonts w:ascii="宋体" w:eastAsia="宋体" w:hint="eastAsia"/>
          <w:color w:val="auto"/>
          <w:sz w:val="21"/>
          <w:szCs w:val="21"/>
        </w:rPr>
        <w:t>基金管理人若对授权通知的</w:t>
      </w:r>
      <w:r>
        <w:rPr>
          <w:rFonts w:ascii="宋体" w:eastAsia="宋体" w:hint="eastAsia"/>
          <w:color w:val="auto"/>
          <w:sz w:val="21"/>
          <w:szCs w:val="21"/>
        </w:rPr>
        <w:t>内容进行修改（包括但不限于指令发送人员的名单的修改，及</w:t>
      </w:r>
      <w:r>
        <w:rPr>
          <w:rFonts w:ascii="宋体" w:eastAsia="宋体" w:hint="eastAsia"/>
          <w:color w:val="auto"/>
          <w:sz w:val="21"/>
          <w:szCs w:val="21"/>
        </w:rPr>
        <w:t>/</w:t>
      </w:r>
      <w:r>
        <w:rPr>
          <w:rFonts w:ascii="宋体" w:eastAsia="宋体" w:hint="eastAsia"/>
          <w:color w:val="auto"/>
          <w:sz w:val="21"/>
          <w:szCs w:val="21"/>
        </w:rPr>
        <w:t>或权限的修改），应当至少提前</w:t>
      </w:r>
      <w:r>
        <w:rPr>
          <w:rFonts w:ascii="宋体" w:eastAsia="宋体" w:hint="eastAsia"/>
          <w:color w:val="auto"/>
          <w:sz w:val="21"/>
          <w:szCs w:val="21"/>
        </w:rPr>
        <w:t>1</w:t>
      </w:r>
      <w:r>
        <w:rPr>
          <w:rFonts w:ascii="宋体" w:eastAsia="宋体" w:hint="eastAsia"/>
          <w:color w:val="auto"/>
          <w:sz w:val="21"/>
          <w:szCs w:val="21"/>
        </w:rPr>
        <w:t>个工作日通知基金托管人；修改授权通知的文件应由基金管理人加盖公章并由法定代表人或其授权签字人签署，若由授权签字人签署，还应附上法定代表人的授权书。基金管理人对授权通知的修改应当以传真的形式发送给基金托管人，同时电话通知基金托管人。基金管理人对授权通知的内容的修改自基金托管人电话确认后于通知载明的生效时间起生效。通知载明的生效时间不得早于电话确认时间。基金管理人在此后</w:t>
      </w:r>
      <w:r>
        <w:rPr>
          <w:rFonts w:ascii="宋体" w:eastAsia="宋体" w:hint="eastAsia"/>
          <w:color w:val="auto"/>
          <w:sz w:val="21"/>
          <w:szCs w:val="21"/>
        </w:rPr>
        <w:t>3</w:t>
      </w:r>
      <w:r>
        <w:rPr>
          <w:rFonts w:ascii="宋体" w:eastAsia="宋体" w:hint="eastAsia"/>
          <w:color w:val="auto"/>
          <w:sz w:val="21"/>
          <w:szCs w:val="21"/>
        </w:rPr>
        <w:t>个工作日内将对授权通知修改的文件原件送交基金托管人。若传</w:t>
      </w:r>
      <w:r>
        <w:rPr>
          <w:rFonts w:ascii="宋体" w:eastAsia="宋体" w:hint="eastAsia"/>
          <w:color w:val="auto"/>
          <w:sz w:val="21"/>
          <w:szCs w:val="21"/>
        </w:rPr>
        <w:t>真件与原件不一致的以传真件为准。基金托管人更换接收基金管理人指令的人员，应至少提前</w:t>
      </w:r>
      <w:r>
        <w:rPr>
          <w:rFonts w:ascii="宋体" w:eastAsia="宋体" w:hint="eastAsia"/>
          <w:color w:val="auto"/>
          <w:sz w:val="21"/>
          <w:szCs w:val="21"/>
        </w:rPr>
        <w:t>1</w:t>
      </w:r>
      <w:r>
        <w:rPr>
          <w:rFonts w:ascii="宋体" w:eastAsia="宋体" w:hint="eastAsia"/>
          <w:color w:val="auto"/>
          <w:sz w:val="21"/>
          <w:szCs w:val="21"/>
        </w:rPr>
        <w:t>个工作日以书面方式通知基金管理人并通过电话进行确认。基金管理人已经撤销或更改对指令发送人员的授权，并且已通知基金托管人并经基金托管人电话确认，则对于在变更通知生效后该指令发送人员无权发送的指令，或超权限发送的指令，基金管理人不承担责任。</w:t>
      </w:r>
    </w:p>
    <w:p w:rsidR="00175D68" w:rsidRDefault="00175D68">
      <w:pPr>
        <w:pStyle w:val="a9"/>
        <w:spacing w:before="100" w:beforeAutospacing="1" w:after="100" w:afterAutospacing="1"/>
        <w:ind w:firstLineChars="0" w:firstLine="0"/>
        <w:rPr>
          <w:rFonts w:ascii="宋体" w:eastAsia="宋体"/>
          <w:color w:val="auto"/>
          <w:sz w:val="21"/>
          <w:szCs w:val="21"/>
        </w:rPr>
      </w:pPr>
    </w:p>
    <w:p w:rsidR="00175D68" w:rsidRDefault="005D0F16">
      <w:pPr>
        <w:pStyle w:val="1"/>
        <w:spacing w:before="100" w:beforeAutospacing="1" w:after="100" w:afterAutospacing="1" w:line="400" w:lineRule="exact"/>
        <w:ind w:firstLine="422"/>
        <w:rPr>
          <w:rFonts w:ascii="宋体" w:hAnsi="宋体"/>
          <w:sz w:val="21"/>
          <w:szCs w:val="21"/>
        </w:rPr>
      </w:pPr>
      <w:bookmarkStart w:id="15" w:name="_Toc116900101"/>
      <w:r>
        <w:rPr>
          <w:rFonts w:ascii="宋体" w:hAnsi="宋体" w:hint="eastAsia"/>
          <w:sz w:val="21"/>
          <w:szCs w:val="21"/>
        </w:rPr>
        <w:t>七、交易及清算交收安排</w:t>
      </w:r>
      <w:bookmarkEnd w:id="15"/>
    </w:p>
    <w:p w:rsidR="00175D68" w:rsidRDefault="005D0F16">
      <w:pPr>
        <w:pStyle w:val="30"/>
        <w:spacing w:before="100" w:beforeAutospacing="1" w:after="100" w:afterAutospacing="1" w:line="400" w:lineRule="exact"/>
        <w:ind w:left="0" w:firstLine="403"/>
        <w:rPr>
          <w:rFonts w:ascii="宋体" w:eastAsia="宋体" w:hAnsi="宋体"/>
          <w:b/>
          <w:sz w:val="21"/>
          <w:szCs w:val="21"/>
        </w:rPr>
      </w:pPr>
      <w:r>
        <w:rPr>
          <w:rFonts w:ascii="宋体" w:eastAsia="宋体" w:hAnsi="宋体" w:hint="eastAsia"/>
          <w:sz w:val="21"/>
          <w:szCs w:val="21"/>
        </w:rPr>
        <w:t>（一）基金管理人负责选择代理本基金证券、期货买卖的证券、期货经营机构。</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w:t>
      </w:r>
      <w:r>
        <w:rPr>
          <w:rFonts w:ascii="宋体" w:eastAsia="宋体" w:hint="eastAsia"/>
          <w:color w:val="auto"/>
          <w:sz w:val="21"/>
          <w:szCs w:val="21"/>
        </w:rPr>
        <w:t>、选择代理证券买卖的证券经营机构的标准：</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w:t>
      </w:r>
      <w:r>
        <w:rPr>
          <w:rFonts w:ascii="宋体" w:eastAsia="宋体" w:hint="eastAsia"/>
          <w:color w:val="auto"/>
          <w:sz w:val="21"/>
          <w:szCs w:val="21"/>
        </w:rPr>
        <w:t>1</w:t>
      </w:r>
      <w:r>
        <w:rPr>
          <w:rFonts w:ascii="宋体" w:eastAsia="宋体" w:hint="eastAsia"/>
          <w:color w:val="auto"/>
          <w:sz w:val="21"/>
          <w:szCs w:val="21"/>
        </w:rPr>
        <w:t>）资金雄厚，信誉良好。</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w:t>
      </w:r>
      <w:r>
        <w:rPr>
          <w:rFonts w:ascii="宋体" w:eastAsia="宋体" w:hint="eastAsia"/>
          <w:color w:val="auto"/>
          <w:sz w:val="21"/>
          <w:szCs w:val="21"/>
        </w:rPr>
        <w:t>2</w:t>
      </w:r>
      <w:r>
        <w:rPr>
          <w:rFonts w:ascii="宋体" w:eastAsia="宋体" w:hint="eastAsia"/>
          <w:color w:val="auto"/>
          <w:sz w:val="21"/>
          <w:szCs w:val="21"/>
        </w:rPr>
        <w:t>）财务状况良好，经营行为规范，最近一年未因重大违规行为而受到有关管理机关的处罚。</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w:t>
      </w:r>
      <w:r>
        <w:rPr>
          <w:rFonts w:ascii="宋体" w:eastAsia="宋体" w:hint="eastAsia"/>
          <w:color w:val="auto"/>
          <w:sz w:val="21"/>
          <w:szCs w:val="21"/>
        </w:rPr>
        <w:t>3</w:t>
      </w:r>
      <w:r>
        <w:rPr>
          <w:rFonts w:ascii="宋体" w:eastAsia="宋体" w:hint="eastAsia"/>
          <w:color w:val="auto"/>
          <w:sz w:val="21"/>
          <w:szCs w:val="21"/>
        </w:rPr>
        <w:t>）内部管理规范、严格，具备健全的内控制度，并能满足本基金运作高度保密的要求。</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w:t>
      </w:r>
      <w:r>
        <w:rPr>
          <w:rFonts w:ascii="宋体" w:eastAsia="宋体" w:hint="eastAsia"/>
          <w:color w:val="auto"/>
          <w:sz w:val="21"/>
          <w:szCs w:val="21"/>
        </w:rPr>
        <w:t>4</w:t>
      </w:r>
      <w:r>
        <w:rPr>
          <w:rFonts w:ascii="宋体" w:eastAsia="宋体" w:hint="eastAsia"/>
          <w:color w:val="auto"/>
          <w:sz w:val="21"/>
          <w:szCs w:val="21"/>
        </w:rPr>
        <w:t>）具备基金运作所需的高效、安全的通讯条件，交易设施符合代理基金进行证券交易的需要，并能为基金提供全面的信息服务。</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w:t>
      </w:r>
      <w:r>
        <w:rPr>
          <w:rFonts w:ascii="宋体" w:eastAsia="宋体" w:hint="eastAsia"/>
          <w:color w:val="auto"/>
          <w:sz w:val="21"/>
          <w:szCs w:val="21"/>
        </w:rPr>
        <w:t>5</w:t>
      </w:r>
      <w:r>
        <w:rPr>
          <w:rFonts w:ascii="宋体" w:eastAsia="宋体" w:hint="eastAsia"/>
          <w:color w:val="auto"/>
          <w:sz w:val="21"/>
          <w:szCs w:val="21"/>
        </w:rPr>
        <w:t>）研究实力较强，有固定的研究机构和专门研究人员，能及时、定期、全面地为基金提供宏观经济、行业情况、市场走向、股票分析的研究报告及周到的信息服务，并能根据基金投资的特定要求，提供专题研究报告。</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lastRenderedPageBreak/>
        <w:t>2</w:t>
      </w:r>
      <w:r>
        <w:rPr>
          <w:rFonts w:ascii="宋体" w:eastAsia="宋体" w:hint="eastAsia"/>
          <w:color w:val="auto"/>
          <w:sz w:val="21"/>
          <w:szCs w:val="21"/>
        </w:rPr>
        <w:t>、选择代理证券买卖的证券经营机构的程序</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管理人根据以上标准进行考察后确定证券经营机构的选择。基金管理人与被选择的证券经营机构签订委托协议，并按照法律法规的规定向中国证监会报告。基金管理人应将委托协议（或交易单元租用协议）的原件及时送交基金托管人。</w:t>
      </w:r>
    </w:p>
    <w:p w:rsidR="00175D68" w:rsidRDefault="005D0F16">
      <w:pPr>
        <w:pStyle w:val="a9"/>
        <w:spacing w:before="100" w:beforeAutospacing="1" w:after="100" w:afterAutospacing="1"/>
        <w:ind w:firstLine="403"/>
        <w:rPr>
          <w:rFonts w:ascii="宋体" w:eastAsia="宋体"/>
          <w:sz w:val="21"/>
          <w:szCs w:val="21"/>
        </w:rPr>
      </w:pPr>
      <w:r>
        <w:rPr>
          <w:rFonts w:ascii="宋体" w:eastAsia="宋体" w:hint="eastAsia"/>
          <w:sz w:val="21"/>
          <w:szCs w:val="21"/>
        </w:rPr>
        <w:t>3</w:t>
      </w:r>
      <w:r>
        <w:rPr>
          <w:rFonts w:ascii="宋体" w:eastAsia="宋体" w:hint="eastAsia"/>
          <w:sz w:val="21"/>
          <w:szCs w:val="21"/>
        </w:rPr>
        <w:t>、相关信息的通知</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基金管理人应及时以书面形式通知基金托管人基金专用交易单元的号码、券商名称、佣金费率等基金基本信息以及变更情况，其中交易单元租用应至少在首次进行交易的</w:t>
      </w:r>
      <w:r>
        <w:rPr>
          <w:rFonts w:ascii="宋体" w:eastAsia="宋体" w:hint="eastAsia"/>
          <w:color w:val="auto"/>
          <w:sz w:val="21"/>
          <w:szCs w:val="21"/>
        </w:rPr>
        <w:t>10</w:t>
      </w:r>
      <w:r>
        <w:rPr>
          <w:rFonts w:ascii="宋体" w:eastAsia="宋体" w:hint="eastAsia"/>
          <w:color w:val="auto"/>
          <w:sz w:val="21"/>
          <w:szCs w:val="21"/>
        </w:rPr>
        <w:t>个工作日前通知基金托管人，交易单元退租应在次日内通知到基金托管人。</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4</w:t>
      </w:r>
      <w:r>
        <w:rPr>
          <w:rFonts w:ascii="宋体" w:eastAsia="宋体" w:hint="eastAsia"/>
          <w:color w:val="auto"/>
          <w:sz w:val="21"/>
          <w:szCs w:val="21"/>
        </w:rPr>
        <w:t>、基金管理人负责</w:t>
      </w:r>
      <w:r>
        <w:rPr>
          <w:rFonts w:ascii="宋体" w:eastAsia="宋体" w:hint="eastAsia"/>
          <w:color w:val="auto"/>
          <w:sz w:val="21"/>
          <w:szCs w:val="21"/>
        </w:rPr>
        <w:t>选择代理本基金期货交易的期货经纪机构，并与其签订期货经纪合同，其他事宜根据法律法规、基金合同的相关规定执行，若无明确规定的，可参照有关证券买卖、证券经纪机构选择的规则执行。</w:t>
      </w:r>
    </w:p>
    <w:p w:rsidR="00175D68" w:rsidRDefault="00175D68">
      <w:pPr>
        <w:pStyle w:val="a9"/>
        <w:spacing w:before="100" w:beforeAutospacing="1" w:after="100" w:afterAutospacing="1"/>
        <w:ind w:firstLine="403"/>
        <w:rPr>
          <w:rFonts w:ascii="宋体" w:eastAsia="宋体"/>
          <w:color w:val="auto"/>
          <w:sz w:val="21"/>
          <w:szCs w:val="21"/>
        </w:rPr>
      </w:pP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（二）基金清算交收</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w:t>
      </w:r>
      <w:r>
        <w:rPr>
          <w:rFonts w:ascii="宋体" w:eastAsia="宋体" w:hint="eastAsia"/>
          <w:color w:val="auto"/>
          <w:sz w:val="21"/>
          <w:szCs w:val="21"/>
        </w:rPr>
        <w:t>、因本基金投资于证券发生的所有场内、场外交易的清算交收，由基金托管人负责根据相关登记结算公司的结算规则办理。</w:t>
      </w:r>
    </w:p>
    <w:p w:rsidR="00175D68" w:rsidRDefault="005D0F16">
      <w:pPr>
        <w:pStyle w:val="a9"/>
        <w:spacing w:before="100" w:beforeAutospacing="1" w:after="100" w:afterAutospacing="1"/>
        <w:ind w:firstLine="403"/>
        <w:rPr>
          <w:rFonts w:ascii="宋体" w:eastAsia="宋体"/>
          <w:sz w:val="21"/>
          <w:szCs w:val="21"/>
        </w:rPr>
      </w:pPr>
      <w:r>
        <w:rPr>
          <w:rFonts w:ascii="宋体" w:eastAsia="宋体" w:hint="eastAsia"/>
          <w:color w:val="auto"/>
          <w:sz w:val="21"/>
          <w:szCs w:val="21"/>
        </w:rPr>
        <w:t>2</w:t>
      </w:r>
      <w:r>
        <w:rPr>
          <w:rFonts w:ascii="宋体" w:eastAsia="宋体" w:hint="eastAsia"/>
          <w:color w:val="auto"/>
          <w:sz w:val="21"/>
          <w:szCs w:val="21"/>
        </w:rPr>
        <w:t>、由于基金管理人或基金托管人原因导致基金资金透支、超买或超卖等情形的，由责任方承担相应的责任。基金管理人同意在发生以上情形时，</w:t>
      </w:r>
      <w:r>
        <w:rPr>
          <w:rFonts w:ascii="宋体" w:eastAsia="宋体" w:hint="eastAsia"/>
          <w:sz w:val="21"/>
          <w:szCs w:val="21"/>
        </w:rPr>
        <w:t>基金托管人应按照中国证券登记结算有限责任公司的有关规定办理。</w:t>
      </w:r>
    </w:p>
    <w:p w:rsidR="00175D68" w:rsidRDefault="005D0F16">
      <w:pPr>
        <w:pStyle w:val="a9"/>
        <w:spacing w:before="100" w:beforeAutospacing="1" w:after="100" w:afterAutospacing="1"/>
        <w:ind w:firstLine="403"/>
        <w:rPr>
          <w:rFonts w:ascii="宋体" w:eastAsia="宋体"/>
          <w:sz w:val="21"/>
          <w:szCs w:val="21"/>
        </w:rPr>
      </w:pPr>
      <w:r>
        <w:rPr>
          <w:rFonts w:ascii="宋体" w:eastAsia="宋体" w:hint="eastAsia"/>
          <w:sz w:val="21"/>
          <w:szCs w:val="21"/>
        </w:rPr>
        <w:t>3</w:t>
      </w:r>
      <w:r>
        <w:rPr>
          <w:rFonts w:ascii="宋体" w:eastAsia="宋体" w:hint="eastAsia"/>
          <w:sz w:val="21"/>
          <w:szCs w:val="21"/>
        </w:rPr>
        <w:t>、</w:t>
      </w:r>
      <w:r>
        <w:rPr>
          <w:rFonts w:ascii="宋体" w:eastAsia="宋体" w:hint="eastAsia"/>
          <w:color w:val="auto"/>
          <w:sz w:val="21"/>
          <w:szCs w:val="21"/>
        </w:rPr>
        <w:t>由于基金管</w:t>
      </w:r>
      <w:r>
        <w:rPr>
          <w:rFonts w:ascii="宋体" w:eastAsia="宋体" w:hint="eastAsia"/>
          <w:color w:val="auto"/>
          <w:sz w:val="21"/>
          <w:szCs w:val="21"/>
        </w:rPr>
        <w:t>理人或基金托管人原因导致</w:t>
      </w:r>
      <w:r>
        <w:rPr>
          <w:rFonts w:ascii="宋体" w:eastAsia="宋体" w:hint="eastAsia"/>
          <w:sz w:val="21"/>
          <w:szCs w:val="21"/>
        </w:rPr>
        <w:t>基金无法按时支付清算款时，责任方应对由此给基金财产造成的损失承担相应的赔偿责任。</w:t>
      </w:r>
    </w:p>
    <w:p w:rsidR="00175D68" w:rsidRDefault="005D0F16">
      <w:pPr>
        <w:pStyle w:val="a9"/>
        <w:spacing w:before="100" w:beforeAutospacing="1" w:after="100" w:afterAutospacing="1"/>
        <w:ind w:firstLine="403"/>
        <w:rPr>
          <w:rFonts w:ascii="宋体" w:eastAsia="宋体"/>
          <w:sz w:val="21"/>
          <w:szCs w:val="21"/>
        </w:rPr>
      </w:pPr>
      <w:r>
        <w:rPr>
          <w:rFonts w:ascii="宋体" w:eastAsia="宋体" w:hint="eastAsia"/>
          <w:sz w:val="21"/>
          <w:szCs w:val="21"/>
        </w:rPr>
        <w:t>4</w:t>
      </w:r>
      <w:r>
        <w:rPr>
          <w:rFonts w:ascii="宋体" w:eastAsia="宋体" w:hint="eastAsia"/>
          <w:sz w:val="21"/>
          <w:szCs w:val="21"/>
        </w:rPr>
        <w:t>、基金管理人应保证在交收日（</w:t>
      </w:r>
      <w:r>
        <w:rPr>
          <w:rFonts w:ascii="宋体" w:eastAsia="宋体"/>
          <w:sz w:val="21"/>
          <w:szCs w:val="21"/>
        </w:rPr>
        <w:t>T+1</w:t>
      </w:r>
      <w:r>
        <w:rPr>
          <w:rFonts w:ascii="宋体" w:eastAsia="宋体" w:hint="eastAsia"/>
          <w:sz w:val="21"/>
          <w:szCs w:val="21"/>
        </w:rPr>
        <w:t>日）</w:t>
      </w:r>
      <w:r>
        <w:rPr>
          <w:rFonts w:ascii="宋体" w:eastAsia="宋体"/>
          <w:sz w:val="21"/>
          <w:szCs w:val="21"/>
        </w:rPr>
        <w:t>10</w:t>
      </w:r>
      <w:r>
        <w:rPr>
          <w:rFonts w:ascii="宋体" w:eastAsia="宋体" w:hint="eastAsia"/>
          <w:sz w:val="21"/>
          <w:szCs w:val="21"/>
        </w:rPr>
        <w:t>：</w:t>
      </w:r>
      <w:r>
        <w:rPr>
          <w:rFonts w:ascii="宋体" w:eastAsia="宋体"/>
          <w:sz w:val="21"/>
          <w:szCs w:val="21"/>
        </w:rPr>
        <w:t>00</w:t>
      </w:r>
      <w:r>
        <w:rPr>
          <w:rFonts w:ascii="宋体" w:eastAsia="宋体" w:hint="eastAsia"/>
          <w:sz w:val="21"/>
          <w:szCs w:val="21"/>
        </w:rPr>
        <w:t>前基金银行账户有足够的资金用于交易所的证券交易资金清算，如基金的资金头寸不足则基金托管人应按照中国证券登记结算有限责任公司的有关规定办理。</w:t>
      </w:r>
    </w:p>
    <w:p w:rsidR="00175D68" w:rsidRDefault="005D0F16">
      <w:pPr>
        <w:pStyle w:val="a9"/>
        <w:spacing w:before="100" w:beforeAutospacing="1" w:after="100" w:afterAutospacing="1"/>
        <w:ind w:firstLine="403"/>
        <w:rPr>
          <w:rFonts w:ascii="宋体" w:eastAsia="宋体"/>
          <w:sz w:val="21"/>
          <w:szCs w:val="21"/>
        </w:rPr>
      </w:pPr>
      <w:r>
        <w:rPr>
          <w:rFonts w:ascii="宋体" w:eastAsia="宋体" w:hint="eastAsia"/>
          <w:sz w:val="21"/>
          <w:szCs w:val="21"/>
        </w:rPr>
        <w:t>5</w:t>
      </w:r>
      <w:r>
        <w:rPr>
          <w:rFonts w:ascii="宋体" w:eastAsia="宋体" w:hint="eastAsia"/>
          <w:sz w:val="21"/>
          <w:szCs w:val="21"/>
        </w:rPr>
        <w:t>、基金管理人应保证基金托管人在执行基金管理人发送的划款指令时，基金银行账户或资金交收账户上有充足的资金。基金的资金头寸不足时，基金托管人有权拒绝基金管理人发送的划款指令，由此造成的损失，由基金管理人负责赔偿。基金管</w:t>
      </w:r>
      <w:r>
        <w:rPr>
          <w:rFonts w:ascii="宋体" w:eastAsia="宋体" w:hint="eastAsia"/>
          <w:sz w:val="21"/>
          <w:szCs w:val="21"/>
        </w:rPr>
        <w:t>理人在发送划款指令时应充分考虑基金托管人的划款处理时间。对于要求当天到帐的指令，应在当天</w:t>
      </w:r>
      <w:r>
        <w:rPr>
          <w:rFonts w:ascii="宋体" w:eastAsia="宋体" w:hint="eastAsia"/>
          <w:sz w:val="21"/>
          <w:szCs w:val="21"/>
        </w:rPr>
        <w:t>15:00</w:t>
      </w:r>
      <w:r>
        <w:rPr>
          <w:rFonts w:ascii="宋体" w:eastAsia="宋体" w:hint="eastAsia"/>
          <w:sz w:val="21"/>
          <w:szCs w:val="21"/>
        </w:rPr>
        <w:t>前发</w:t>
      </w:r>
      <w:r>
        <w:rPr>
          <w:rFonts w:ascii="宋体" w:eastAsia="宋体" w:hint="eastAsia"/>
          <w:sz w:val="21"/>
          <w:szCs w:val="21"/>
        </w:rPr>
        <w:lastRenderedPageBreak/>
        <w:t>送；对于要求当天某一时点到账，则指令需提前</w:t>
      </w:r>
      <w:r>
        <w:rPr>
          <w:rFonts w:ascii="宋体" w:eastAsia="宋体" w:hint="eastAsia"/>
          <w:sz w:val="21"/>
          <w:szCs w:val="21"/>
        </w:rPr>
        <w:t>2</w:t>
      </w:r>
      <w:r>
        <w:rPr>
          <w:rFonts w:ascii="宋体" w:eastAsia="宋体" w:hint="eastAsia"/>
          <w:sz w:val="21"/>
          <w:szCs w:val="21"/>
        </w:rPr>
        <w:t>个工作小时发送，并相关付款条件已经具备。对于新股申购网下公开发行业务，基金管理人应在网下申购缴款日</w:t>
      </w:r>
      <w:r>
        <w:rPr>
          <w:rFonts w:ascii="宋体" w:eastAsia="宋体" w:hint="eastAsia"/>
          <w:sz w:val="21"/>
          <w:szCs w:val="21"/>
        </w:rPr>
        <w:t>(T</w:t>
      </w:r>
      <w:r>
        <w:rPr>
          <w:rFonts w:ascii="宋体" w:eastAsia="宋体" w:hint="eastAsia"/>
          <w:sz w:val="21"/>
          <w:szCs w:val="21"/>
        </w:rPr>
        <w:t>日</w:t>
      </w:r>
      <w:r>
        <w:rPr>
          <w:rFonts w:ascii="宋体" w:eastAsia="宋体" w:hint="eastAsia"/>
          <w:sz w:val="21"/>
          <w:szCs w:val="21"/>
        </w:rPr>
        <w:t>)</w:t>
      </w:r>
      <w:r>
        <w:rPr>
          <w:rFonts w:ascii="宋体" w:eastAsia="宋体" w:hint="eastAsia"/>
          <w:sz w:val="21"/>
          <w:szCs w:val="21"/>
        </w:rPr>
        <w:t>的前一日下班前将新股申购指令发送给托管人，指令发送时间最迟不应晚于</w:t>
      </w:r>
      <w:r>
        <w:rPr>
          <w:rFonts w:ascii="宋体" w:eastAsia="宋体" w:hint="eastAsia"/>
          <w:sz w:val="21"/>
          <w:szCs w:val="21"/>
        </w:rPr>
        <w:t>T</w:t>
      </w:r>
      <w:r>
        <w:rPr>
          <w:rFonts w:ascii="宋体" w:eastAsia="宋体" w:hint="eastAsia"/>
          <w:sz w:val="21"/>
          <w:szCs w:val="21"/>
        </w:rPr>
        <w:t>日上午</w:t>
      </w:r>
      <w:r>
        <w:rPr>
          <w:rFonts w:ascii="宋体" w:eastAsia="宋体" w:hint="eastAsia"/>
          <w:sz w:val="21"/>
          <w:szCs w:val="21"/>
        </w:rPr>
        <w:t>10</w:t>
      </w:r>
      <w:r>
        <w:rPr>
          <w:rFonts w:ascii="宋体" w:eastAsia="宋体" w:hint="eastAsia"/>
          <w:sz w:val="21"/>
          <w:szCs w:val="21"/>
        </w:rPr>
        <w:t>：</w:t>
      </w:r>
      <w:r>
        <w:rPr>
          <w:rFonts w:ascii="宋体" w:eastAsia="宋体" w:hint="eastAsia"/>
          <w:sz w:val="21"/>
          <w:szCs w:val="21"/>
        </w:rPr>
        <w:t>00</w:t>
      </w:r>
      <w:r>
        <w:rPr>
          <w:rFonts w:ascii="宋体" w:eastAsia="宋体" w:hint="eastAsia"/>
          <w:sz w:val="21"/>
          <w:szCs w:val="21"/>
        </w:rPr>
        <w:t>时。</w:t>
      </w:r>
    </w:p>
    <w:p w:rsidR="00175D68" w:rsidRDefault="005D0F16">
      <w:pPr>
        <w:autoSpaceDE w:val="0"/>
        <w:autoSpaceDN w:val="0"/>
        <w:adjustRightInd w:val="0"/>
        <w:spacing w:line="360" w:lineRule="auto"/>
        <w:ind w:firstLine="420"/>
        <w:rPr>
          <w:rFonts w:ascii="宋体" w:hAnsi="宋体"/>
          <w:color w:val="000000"/>
          <w:szCs w:val="21"/>
        </w:rPr>
      </w:pPr>
      <w:r>
        <w:rPr>
          <w:rFonts w:ascii="宋体" w:hAnsi="宋体" w:hint="eastAsia"/>
          <w:color w:val="000000"/>
          <w:szCs w:val="21"/>
        </w:rPr>
        <w:t>对于</w:t>
      </w:r>
      <w:r>
        <w:rPr>
          <w:rFonts w:ascii="宋体" w:hAnsi="宋体" w:cs="宋体" w:hint="eastAsia"/>
          <w:color w:val="000000"/>
          <w:kern w:val="0"/>
          <w:szCs w:val="21"/>
        </w:rPr>
        <w:t>中国证券登记结算有限责任公司</w:t>
      </w:r>
      <w:r>
        <w:rPr>
          <w:rFonts w:ascii="宋体" w:hAnsi="宋体" w:hint="eastAsia"/>
          <w:color w:val="000000"/>
          <w:szCs w:val="21"/>
        </w:rPr>
        <w:t>实行</w:t>
      </w:r>
      <w:r>
        <w:rPr>
          <w:rFonts w:ascii="宋体" w:hAnsi="宋体"/>
          <w:color w:val="000000"/>
          <w:szCs w:val="21"/>
        </w:rPr>
        <w:t>T+0</w:t>
      </w:r>
      <w:r>
        <w:rPr>
          <w:rFonts w:ascii="宋体" w:hAnsi="宋体" w:hint="eastAsia"/>
          <w:color w:val="000000"/>
          <w:szCs w:val="21"/>
        </w:rPr>
        <w:t>非担保交收的业务，基金管理人应在交易日</w:t>
      </w:r>
      <w:r>
        <w:rPr>
          <w:rFonts w:ascii="宋体" w:hAnsi="宋体"/>
          <w:color w:val="000000"/>
          <w:szCs w:val="21"/>
        </w:rPr>
        <w:t>14</w:t>
      </w:r>
      <w:r>
        <w:rPr>
          <w:rFonts w:ascii="宋体" w:hAnsi="宋体" w:hint="eastAsia"/>
          <w:color w:val="000000"/>
          <w:szCs w:val="21"/>
        </w:rPr>
        <w:t>：</w:t>
      </w:r>
      <w:r>
        <w:rPr>
          <w:rFonts w:ascii="宋体" w:hAnsi="宋体"/>
          <w:color w:val="000000"/>
          <w:szCs w:val="21"/>
        </w:rPr>
        <w:t>00</w:t>
      </w:r>
      <w:r>
        <w:rPr>
          <w:rFonts w:ascii="宋体" w:hAnsi="宋体" w:hint="eastAsia"/>
          <w:color w:val="000000"/>
          <w:szCs w:val="21"/>
        </w:rPr>
        <w:t>前将划款指令发送至托管人。</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sz w:val="21"/>
          <w:szCs w:val="21"/>
        </w:rPr>
        <w:t>因基金管理人指令传输不及时，致使资金未能及时划入中国</w:t>
      </w:r>
      <w:r>
        <w:rPr>
          <w:rFonts w:ascii="宋体" w:eastAsia="宋体" w:hint="eastAsia"/>
          <w:sz w:val="21"/>
          <w:szCs w:val="21"/>
        </w:rPr>
        <w:t>证券登记结算有限责任公司所造成的损失由基金管理人承担，包括赔偿在深圳市场引起其他托管客户交易失败、赔偿因占用中国证券登记结算有限责任公司深圳分公司最低备付金带来的利息损失。在基金资金头寸充足的情况下，基金托管人对基金管理人符合法律法规、《基金合同》、</w:t>
      </w:r>
      <w:r>
        <w:rPr>
          <w:rFonts w:ascii="宋体" w:eastAsia="宋体" w:cs="方正仿宋简体" w:hint="eastAsia"/>
          <w:sz w:val="21"/>
          <w:szCs w:val="21"/>
        </w:rPr>
        <w:t>本协议的指令不得</w:t>
      </w:r>
      <w:r>
        <w:rPr>
          <w:rFonts w:ascii="宋体" w:eastAsia="宋体" w:hint="eastAsia"/>
          <w:sz w:val="21"/>
          <w:szCs w:val="21"/>
        </w:rPr>
        <w:t>不合理</w:t>
      </w:r>
      <w:r>
        <w:rPr>
          <w:rFonts w:ascii="宋体" w:eastAsia="宋体" w:cs="方正仿宋简体" w:hint="eastAsia"/>
          <w:sz w:val="21"/>
          <w:szCs w:val="21"/>
        </w:rPr>
        <w:t>拖延或拒绝执行。</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（三）资金、证券账目和交易记录核对</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基金管理人和基金托管人应对本基金的资金、证券账目及交易记录进行核对。</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（四）申购、赎回和基金转换的资金清算</w:t>
      </w:r>
    </w:p>
    <w:p w:rsidR="00175D68" w:rsidRDefault="005D0F16">
      <w:pPr>
        <w:pStyle w:val="30"/>
        <w:spacing w:before="100" w:beforeAutospacing="1" w:after="100" w:afterAutospacing="1" w:line="400" w:lineRule="exact"/>
        <w:ind w:left="0" w:right="26" w:firstLine="403"/>
        <w:rPr>
          <w:rFonts w:ascii="宋体" w:eastAsia="宋体" w:hAnsi="宋体"/>
          <w:color w:val="000000"/>
          <w:sz w:val="21"/>
          <w:szCs w:val="21"/>
        </w:rPr>
      </w:pPr>
      <w:r>
        <w:rPr>
          <w:rFonts w:ascii="宋体" w:eastAsia="宋体" w:hAnsi="宋体" w:hint="eastAsia"/>
          <w:color w:val="000000"/>
          <w:sz w:val="21"/>
          <w:szCs w:val="21"/>
        </w:rPr>
        <w:t>1</w:t>
      </w:r>
      <w:r>
        <w:rPr>
          <w:rFonts w:ascii="宋体" w:eastAsia="宋体" w:hAnsi="宋体" w:hint="eastAsia"/>
          <w:color w:val="000000"/>
          <w:sz w:val="21"/>
          <w:szCs w:val="21"/>
        </w:rPr>
        <w:t>、</w:t>
      </w:r>
      <w:r>
        <w:rPr>
          <w:rFonts w:ascii="宋体" w:eastAsia="宋体" w:hAnsi="宋体" w:hint="eastAsia"/>
          <w:color w:val="000000"/>
          <w:sz w:val="21"/>
          <w:szCs w:val="21"/>
        </w:rPr>
        <w:t>T</w:t>
      </w:r>
      <w:r>
        <w:rPr>
          <w:rFonts w:ascii="宋体" w:eastAsia="宋体" w:hAnsi="宋体" w:hint="eastAsia"/>
          <w:color w:val="000000"/>
          <w:sz w:val="21"/>
          <w:szCs w:val="21"/>
        </w:rPr>
        <w:t>日，投资者进行基金申购、赎回和转换申请，基金管理人和基金托管人分别计算基金资产净值，并进行核对；基金管理人将双方盖章确认的或基金管理人决定采用的基金份额净值以基金份额净值公告的形式传真至相关信息披露媒介。</w:t>
      </w:r>
    </w:p>
    <w:p w:rsidR="00175D68" w:rsidRDefault="005D0F16">
      <w:pPr>
        <w:pStyle w:val="30"/>
        <w:spacing w:before="100" w:beforeAutospacing="1" w:after="100" w:afterAutospacing="1" w:line="400" w:lineRule="exact"/>
        <w:ind w:left="0" w:right="26" w:firstLine="403"/>
        <w:jc w:val="left"/>
        <w:rPr>
          <w:rFonts w:ascii="宋体" w:eastAsia="宋体" w:hAnsi="宋体"/>
          <w:color w:val="000000"/>
          <w:sz w:val="21"/>
          <w:szCs w:val="21"/>
        </w:rPr>
      </w:pPr>
      <w:r>
        <w:rPr>
          <w:rFonts w:ascii="宋体" w:eastAsia="宋体" w:hAnsi="宋体" w:hint="eastAsia"/>
          <w:color w:val="000000"/>
          <w:sz w:val="21"/>
          <w:szCs w:val="21"/>
        </w:rPr>
        <w:t>2</w:t>
      </w:r>
      <w:r>
        <w:rPr>
          <w:rFonts w:ascii="宋体" w:eastAsia="宋体" w:hAnsi="宋体" w:hint="eastAsia"/>
          <w:color w:val="000000"/>
          <w:sz w:val="21"/>
          <w:szCs w:val="21"/>
        </w:rPr>
        <w:t>、</w:t>
      </w:r>
      <w:r>
        <w:rPr>
          <w:rFonts w:ascii="宋体" w:eastAsia="宋体" w:hAnsi="宋体" w:hint="eastAsia"/>
          <w:color w:val="000000"/>
          <w:sz w:val="21"/>
          <w:szCs w:val="21"/>
        </w:rPr>
        <w:t>T+1</w:t>
      </w:r>
      <w:r>
        <w:rPr>
          <w:rFonts w:ascii="宋体" w:eastAsia="宋体" w:hAnsi="宋体" w:hint="eastAsia"/>
          <w:color w:val="000000"/>
          <w:sz w:val="21"/>
          <w:szCs w:val="21"/>
        </w:rPr>
        <w:t>日，登记机构根据</w:t>
      </w:r>
      <w:r>
        <w:rPr>
          <w:rFonts w:ascii="宋体" w:eastAsia="宋体" w:hAnsi="宋体" w:hint="eastAsia"/>
          <w:color w:val="000000"/>
          <w:sz w:val="21"/>
          <w:szCs w:val="21"/>
        </w:rPr>
        <w:t>T</w:t>
      </w:r>
      <w:r>
        <w:rPr>
          <w:rFonts w:ascii="宋体" w:eastAsia="宋体" w:hAnsi="宋体" w:hint="eastAsia"/>
          <w:color w:val="000000"/>
          <w:sz w:val="21"/>
          <w:szCs w:val="21"/>
        </w:rPr>
        <w:t>日基金份额净值计算申购份额、赎回金额及转换份额，更新基金份额持有人数据库；并将确认的申购、赎回及转换数据向基金托管人、基金管理人传送。基金管理人、基金托管人根据确认数据进行账务处理。</w:t>
      </w:r>
    </w:p>
    <w:p w:rsidR="00175D68" w:rsidRDefault="005D0F16">
      <w:pPr>
        <w:pStyle w:val="30"/>
        <w:spacing w:before="100" w:beforeAutospacing="1" w:after="100" w:afterAutospacing="1" w:line="400" w:lineRule="exact"/>
        <w:ind w:left="0" w:right="26" w:firstLine="403"/>
        <w:rPr>
          <w:rFonts w:ascii="宋体" w:eastAsia="宋体" w:hAnsi="宋体"/>
          <w:color w:val="000000"/>
          <w:sz w:val="21"/>
          <w:szCs w:val="21"/>
        </w:rPr>
      </w:pPr>
      <w:r>
        <w:rPr>
          <w:rFonts w:ascii="宋体" w:eastAsia="宋体" w:hAnsi="宋体"/>
          <w:color w:val="000000"/>
          <w:sz w:val="21"/>
          <w:szCs w:val="21"/>
        </w:rPr>
        <w:t>3</w:t>
      </w:r>
      <w:r>
        <w:rPr>
          <w:rFonts w:ascii="宋体" w:eastAsia="宋体" w:hAnsi="宋体"/>
          <w:color w:val="000000"/>
          <w:sz w:val="21"/>
          <w:szCs w:val="21"/>
        </w:rPr>
        <w:t>、基金托管账户与</w:t>
      </w:r>
      <w:r>
        <w:rPr>
          <w:rFonts w:ascii="宋体" w:eastAsia="宋体" w:hAnsi="宋体"/>
          <w:color w:val="000000"/>
          <w:sz w:val="21"/>
          <w:szCs w:val="21"/>
        </w:rPr>
        <w:t>“</w:t>
      </w:r>
      <w:r>
        <w:rPr>
          <w:rFonts w:ascii="宋体" w:eastAsia="宋体" w:hAnsi="宋体"/>
          <w:color w:val="000000"/>
          <w:sz w:val="21"/>
          <w:szCs w:val="21"/>
        </w:rPr>
        <w:t>基金清算账户</w:t>
      </w:r>
      <w:r>
        <w:rPr>
          <w:rFonts w:ascii="宋体" w:eastAsia="宋体" w:hAnsi="宋体"/>
          <w:color w:val="000000"/>
          <w:sz w:val="21"/>
          <w:szCs w:val="21"/>
        </w:rPr>
        <w:t>”</w:t>
      </w:r>
      <w:r>
        <w:rPr>
          <w:rFonts w:ascii="宋体" w:eastAsia="宋体" w:hAnsi="宋体"/>
          <w:color w:val="000000"/>
          <w:sz w:val="21"/>
          <w:szCs w:val="21"/>
        </w:rPr>
        <w:t>间的资金清算遵循</w:t>
      </w:r>
      <w:r>
        <w:rPr>
          <w:rFonts w:ascii="宋体" w:eastAsia="宋体" w:hAnsi="宋体"/>
          <w:color w:val="000000"/>
          <w:sz w:val="21"/>
          <w:szCs w:val="21"/>
        </w:rPr>
        <w:t>“</w:t>
      </w:r>
      <w:r>
        <w:rPr>
          <w:rFonts w:ascii="宋体" w:eastAsia="宋体" w:hAnsi="宋体" w:hint="eastAsia"/>
          <w:color w:val="000000"/>
          <w:sz w:val="21"/>
          <w:szCs w:val="21"/>
        </w:rPr>
        <w:t>全额清算、净额交收”的原则，即按照托</w:t>
      </w:r>
      <w:r>
        <w:rPr>
          <w:rFonts w:ascii="宋体" w:eastAsia="宋体" w:hAnsi="宋体" w:hint="eastAsia"/>
          <w:color w:val="000000"/>
          <w:sz w:val="21"/>
          <w:szCs w:val="21"/>
        </w:rPr>
        <w:t>管账户当日应收资金（包括申购资金及基金转换转入款）与托管账户应付额（含赎回资金、赎回费、基金转换转出款及转换费）的差额来确定托管账户净应收额或净应付额，以此确定资金交收额。当存在托管账户净应收额时，基金管理人负责将托管账户净应收额在交收日及时从“基金清算账户”划往基金托管账户；当存在托管账户净应付额时，基金托管行按管理人的划款指令将托管账户净应付额在交收日及时划往“基金清算账户”。</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sz w:val="21"/>
          <w:szCs w:val="21"/>
        </w:rPr>
        <w:t>4</w:t>
      </w:r>
      <w:r>
        <w:rPr>
          <w:rFonts w:ascii="宋体" w:eastAsia="宋体" w:hint="eastAsia"/>
          <w:sz w:val="21"/>
          <w:szCs w:val="21"/>
        </w:rPr>
        <w:t>、</w:t>
      </w:r>
      <w:r>
        <w:rPr>
          <w:rFonts w:ascii="宋体" w:eastAsia="宋体" w:hint="eastAsia"/>
          <w:color w:val="auto"/>
          <w:sz w:val="21"/>
          <w:szCs w:val="21"/>
        </w:rPr>
        <w:t>基金管理人未能按上款约定将托管账户净应收额全额、及时汇至基金托管账户，由此产生的责任应由该基金管理人承担</w:t>
      </w:r>
      <w:r>
        <w:rPr>
          <w:rFonts w:ascii="宋体" w:eastAsia="宋体" w:hint="eastAsia"/>
          <w:sz w:val="21"/>
          <w:szCs w:val="21"/>
        </w:rPr>
        <w:t>（不可抗力或基金管</w:t>
      </w:r>
      <w:r>
        <w:rPr>
          <w:rFonts w:ascii="宋体" w:eastAsia="宋体" w:hint="eastAsia"/>
          <w:sz w:val="21"/>
          <w:szCs w:val="21"/>
        </w:rPr>
        <w:t>理人无过错的情况除外）</w:t>
      </w:r>
      <w:r>
        <w:rPr>
          <w:rFonts w:ascii="宋体" w:eastAsia="宋体" w:hint="eastAsia"/>
          <w:color w:val="auto"/>
          <w:sz w:val="21"/>
          <w:szCs w:val="21"/>
        </w:rPr>
        <w:t>；基金托管人未能按上款约定将托管账户净应付额全额、及时汇至“基金清算账户”，由此产生的责</w:t>
      </w:r>
      <w:r>
        <w:rPr>
          <w:rFonts w:ascii="宋体" w:eastAsia="宋体" w:hint="eastAsia"/>
          <w:color w:val="auto"/>
          <w:sz w:val="21"/>
          <w:szCs w:val="21"/>
        </w:rPr>
        <w:lastRenderedPageBreak/>
        <w:t>任应由基金托管人承担</w:t>
      </w:r>
      <w:r>
        <w:rPr>
          <w:rFonts w:ascii="宋体" w:eastAsia="宋体" w:cs="方正仿宋简体"/>
          <w:color w:val="auto"/>
          <w:sz w:val="21"/>
          <w:szCs w:val="21"/>
        </w:rPr>
        <w:t>(</w:t>
      </w:r>
      <w:r>
        <w:rPr>
          <w:rFonts w:ascii="宋体" w:eastAsia="宋体" w:cs="方正仿宋简体"/>
          <w:color w:val="auto"/>
          <w:sz w:val="21"/>
          <w:szCs w:val="21"/>
        </w:rPr>
        <w:t>不可抗力或基金托管人无过错的情况除外</w:t>
      </w:r>
      <w:r>
        <w:rPr>
          <w:rFonts w:ascii="宋体" w:eastAsia="宋体" w:cs="方正仿宋简体"/>
          <w:color w:val="auto"/>
          <w:sz w:val="21"/>
          <w:szCs w:val="21"/>
        </w:rPr>
        <w:t>)</w:t>
      </w:r>
      <w:r>
        <w:rPr>
          <w:rFonts w:ascii="宋体" w:eastAsia="宋体" w:hint="eastAsia"/>
          <w:color w:val="auto"/>
          <w:sz w:val="21"/>
          <w:szCs w:val="21"/>
        </w:rPr>
        <w:t>。</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5</w:t>
      </w:r>
      <w:r>
        <w:rPr>
          <w:rFonts w:ascii="宋体" w:eastAsia="宋体" w:hint="eastAsia"/>
          <w:color w:val="auto"/>
          <w:sz w:val="21"/>
          <w:szCs w:val="21"/>
        </w:rPr>
        <w:t>、基金管理人应将每个开放日的申购、赎回、转换开放式基金的数据传送给基金托管人。基金管理人应对传递的申购、赎回、转换开放式基金的数据真实性负责。基金托管人应及时查收申购资金的到账情况并根据基金管理人指令及时划付赎回款项。</w:t>
      </w:r>
    </w:p>
    <w:p w:rsidR="00175D68" w:rsidRDefault="00175D68">
      <w:pPr>
        <w:pStyle w:val="a9"/>
        <w:spacing w:before="100" w:beforeAutospacing="1" w:after="100" w:afterAutospacing="1"/>
        <w:ind w:firstLine="403"/>
        <w:rPr>
          <w:rFonts w:ascii="宋体" w:eastAsia="宋体"/>
          <w:color w:val="auto"/>
          <w:sz w:val="21"/>
          <w:szCs w:val="21"/>
        </w:rPr>
      </w:pPr>
    </w:p>
    <w:p w:rsidR="00175D68" w:rsidRDefault="005D0F16">
      <w:pPr>
        <w:pStyle w:val="1"/>
        <w:spacing w:before="100" w:beforeAutospacing="1" w:after="100" w:afterAutospacing="1" w:line="400" w:lineRule="exact"/>
        <w:ind w:firstLine="422"/>
        <w:rPr>
          <w:rFonts w:ascii="宋体" w:hAnsi="宋体"/>
          <w:sz w:val="21"/>
          <w:szCs w:val="21"/>
        </w:rPr>
      </w:pPr>
      <w:bookmarkStart w:id="16" w:name="_Toc116900103"/>
      <w:r>
        <w:rPr>
          <w:rFonts w:ascii="宋体" w:hAnsi="宋体" w:hint="eastAsia"/>
          <w:sz w:val="21"/>
          <w:szCs w:val="21"/>
        </w:rPr>
        <w:t>八、基金资产净值计算和会计核算</w:t>
      </w:r>
      <w:bookmarkEnd w:id="16"/>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（一）基金资产净值的计算和复核</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、基金资产净值是指基金资产总值减去负债后的价值。</w:t>
      </w:r>
      <w:r>
        <w:rPr>
          <w:rFonts w:ascii="宋体" w:eastAsia="宋体" w:hAnsi="宋体" w:hint="eastAsia"/>
          <w:sz w:val="21"/>
          <w:szCs w:val="21"/>
        </w:rPr>
        <w:t>基金份额净值是指计算日基金资产净值除以计算日该基金份额总数后的价值。</w:t>
      </w:r>
    </w:p>
    <w:p w:rsidR="00175D68" w:rsidRDefault="005D0F16">
      <w:pPr>
        <w:spacing w:before="100" w:beforeAutospacing="1" w:after="100" w:afterAutospacing="1" w:line="400" w:lineRule="exact"/>
        <w:ind w:firstLine="420"/>
        <w:rPr>
          <w:rFonts w:ascii="宋体" w:hAnsi="宋体"/>
          <w:kern w:val="0"/>
          <w:szCs w:val="21"/>
        </w:rPr>
      </w:pPr>
      <w:r>
        <w:rPr>
          <w:rFonts w:ascii="宋体" w:hAnsi="宋体" w:hint="eastAsia"/>
          <w:szCs w:val="21"/>
        </w:rPr>
        <w:t>2</w:t>
      </w:r>
      <w:r>
        <w:rPr>
          <w:rFonts w:ascii="宋体" w:hAnsi="宋体" w:hint="eastAsia"/>
          <w:szCs w:val="21"/>
        </w:rPr>
        <w:t>、基金管理人应每个估值日对基金财产估值</w:t>
      </w:r>
      <w:r>
        <w:rPr>
          <w:rFonts w:ascii="宋体" w:hAnsi="宋体" w:hint="eastAsia"/>
          <w:color w:val="000000"/>
          <w:kern w:val="0"/>
          <w:szCs w:val="21"/>
        </w:rPr>
        <w:t>，但基金管理人根据法律法规或《基金合同》的规定暂停估值时除外</w:t>
      </w:r>
      <w:r>
        <w:rPr>
          <w:rFonts w:ascii="宋体" w:hAnsi="宋体" w:hint="eastAsia"/>
          <w:szCs w:val="21"/>
        </w:rPr>
        <w:t>。估值原则应符合《基金合同》、《证券投资基金会计核算业务指引》及其他法律法规的规定。基金资产净值和基金份额净值由基金管理人负责计算，基金托管人复核。基金管理人应于每个估值日结束后计算得出当日的该基金份额净值，并以双方约定的方式发送给基金托管人。基金托管人应对净值计算结果进行复核，并以双方约定的方式将复核结果传送给基金管理人</w:t>
      </w:r>
      <w:r>
        <w:rPr>
          <w:rFonts w:ascii="宋体" w:hAnsi="宋体" w:hint="eastAsia"/>
          <w:kern w:val="0"/>
          <w:szCs w:val="21"/>
        </w:rPr>
        <w:t>，由基金管理人对外公布。月末、年中和年末估值复核与基金会计账目的核对同时进行。</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rPr>
        <w:t>、当</w:t>
      </w:r>
      <w:r>
        <w:rPr>
          <w:rFonts w:ascii="宋体" w:eastAsia="宋体" w:hAnsi="宋体" w:cs="方正仿宋简体" w:hint="eastAsia"/>
          <w:sz w:val="21"/>
          <w:szCs w:val="21"/>
        </w:rPr>
        <w:t>相关法律法规或《基金合同》规定的估值方法不能客观反映基金财产公允价值时，</w:t>
      </w:r>
      <w:r>
        <w:rPr>
          <w:rFonts w:ascii="宋体" w:eastAsia="宋体" w:hAnsi="宋体" w:hint="eastAsia"/>
          <w:sz w:val="21"/>
          <w:szCs w:val="21"/>
        </w:rPr>
        <w:t>基金管理人可根据具体情况</w:t>
      </w:r>
      <w:r>
        <w:rPr>
          <w:rFonts w:ascii="宋体" w:eastAsia="宋体" w:hAnsi="宋体"/>
          <w:sz w:val="21"/>
          <w:szCs w:val="21"/>
        </w:rPr>
        <w:t>，</w:t>
      </w:r>
      <w:r>
        <w:rPr>
          <w:rFonts w:ascii="宋体" w:eastAsia="宋体" w:hAnsi="宋体" w:hint="eastAsia"/>
          <w:sz w:val="21"/>
          <w:szCs w:val="21"/>
        </w:rPr>
        <w:t>并与基金托管人商定后</w:t>
      </w:r>
      <w:r>
        <w:rPr>
          <w:rFonts w:ascii="宋体" w:eastAsia="宋体" w:hAnsi="宋体"/>
          <w:sz w:val="21"/>
          <w:szCs w:val="21"/>
        </w:rPr>
        <w:t>，</w:t>
      </w:r>
      <w:r>
        <w:rPr>
          <w:rFonts w:ascii="宋体" w:eastAsia="宋体" w:hAnsi="宋体" w:hint="eastAsia"/>
          <w:sz w:val="21"/>
          <w:szCs w:val="21"/>
        </w:rPr>
        <w:t>按最能反映公允价值的价格估值。</w:t>
      </w:r>
    </w:p>
    <w:p w:rsidR="00175D68" w:rsidRDefault="005D0F16">
      <w:pPr>
        <w:pStyle w:val="30"/>
        <w:spacing w:before="100" w:beforeAutospacing="1" w:after="100" w:afterAutospacing="1" w:line="400" w:lineRule="exact"/>
        <w:ind w:left="0" w:right="26" w:firstLine="403"/>
        <w:rPr>
          <w:rFonts w:ascii="宋体" w:eastAsia="宋体" w:hAnsi="宋体" w:cs="方正仿宋简体"/>
          <w:sz w:val="21"/>
          <w:szCs w:val="21"/>
        </w:rPr>
      </w:pPr>
      <w:r>
        <w:rPr>
          <w:rFonts w:ascii="宋体" w:eastAsia="宋体" w:hAnsi="宋体" w:hint="eastAsia"/>
          <w:sz w:val="21"/>
          <w:szCs w:val="21"/>
        </w:rPr>
        <w:t>4</w:t>
      </w:r>
      <w:r>
        <w:rPr>
          <w:rFonts w:ascii="宋体" w:eastAsia="宋体" w:hAnsi="宋体" w:hint="eastAsia"/>
          <w:sz w:val="21"/>
          <w:szCs w:val="21"/>
        </w:rPr>
        <w:t>、</w:t>
      </w:r>
      <w:r>
        <w:rPr>
          <w:rFonts w:ascii="宋体" w:eastAsia="宋体" w:hAnsi="宋体" w:cs="方正仿宋简体" w:hint="eastAsia"/>
          <w:sz w:val="21"/>
          <w:szCs w:val="21"/>
        </w:rPr>
        <w:t>基金管理人、基金托管人发现基金估值违反《基金合同》订明的估值方法、程序以及相关法律法规的规定或者未能充分维护基金份额持有人利益时，双方应及时进行协商和纠正。</w:t>
      </w:r>
    </w:p>
    <w:p w:rsidR="00175D68" w:rsidRDefault="005D0F16">
      <w:pPr>
        <w:spacing w:before="100" w:beforeAutospacing="1" w:after="100" w:afterAutospacing="1" w:line="400" w:lineRule="exact"/>
        <w:ind w:firstLine="420"/>
        <w:rPr>
          <w:rFonts w:ascii="宋体" w:hAnsi="宋体"/>
          <w:szCs w:val="21"/>
        </w:rPr>
      </w:pPr>
      <w:r>
        <w:rPr>
          <w:rFonts w:ascii="宋体" w:hAnsi="宋体" w:cs="方正仿宋简体" w:hint="eastAsia"/>
          <w:szCs w:val="21"/>
        </w:rPr>
        <w:t>5</w:t>
      </w:r>
      <w:r>
        <w:rPr>
          <w:rFonts w:ascii="宋体" w:hAnsi="宋体" w:cs="方正仿宋简体" w:hint="eastAsia"/>
          <w:szCs w:val="21"/>
        </w:rPr>
        <w:t>、</w:t>
      </w:r>
      <w:r>
        <w:rPr>
          <w:rFonts w:ascii="宋体" w:hAnsi="宋体" w:hint="eastAsia"/>
          <w:szCs w:val="21"/>
        </w:rPr>
        <w:t>当基金资产的估值导致基金份额净值小数点后四位内发生差错时，视为基金份额净值估值错误。当基金份额净值出现错误时</w:t>
      </w:r>
      <w:r>
        <w:rPr>
          <w:rFonts w:ascii="宋体" w:hAnsi="宋体" w:hint="eastAsia"/>
          <w:szCs w:val="21"/>
        </w:rPr>
        <w:t>，基金管理人应当立即予以纠正，通报基金托管人，并采取合理的措施防止损失进一步扩大；当计价错误达到基金份额净值的</w:t>
      </w:r>
      <w:r>
        <w:rPr>
          <w:rFonts w:ascii="宋体" w:hAnsi="宋体"/>
          <w:szCs w:val="21"/>
        </w:rPr>
        <w:t>0.</w:t>
      </w:r>
      <w:r>
        <w:rPr>
          <w:rFonts w:ascii="宋体" w:hAnsi="宋体" w:hint="eastAsia"/>
          <w:szCs w:val="21"/>
        </w:rPr>
        <w:t>2</w:t>
      </w:r>
      <w:r>
        <w:rPr>
          <w:rFonts w:ascii="宋体" w:hAnsi="宋体"/>
          <w:szCs w:val="21"/>
        </w:rPr>
        <w:t>5%</w:t>
      </w:r>
      <w:r>
        <w:rPr>
          <w:rFonts w:ascii="宋体" w:hAnsi="宋体" w:hint="eastAsia"/>
          <w:szCs w:val="21"/>
        </w:rPr>
        <w:t>时，基金管理人应当通知基金托管人并报中国证监会备案；当计价错误达到基金份额净值的</w:t>
      </w:r>
      <w:r>
        <w:rPr>
          <w:rFonts w:ascii="宋体" w:hAnsi="宋体"/>
          <w:szCs w:val="21"/>
        </w:rPr>
        <w:t>0.5%</w:t>
      </w:r>
      <w:r>
        <w:rPr>
          <w:rFonts w:ascii="宋体" w:hAnsi="宋体" w:hint="eastAsia"/>
          <w:szCs w:val="21"/>
        </w:rPr>
        <w:t>时，基金管理人应当通知基金托管人，在报中国证监会备案的同时及时进行公告。</w:t>
      </w:r>
      <w:r>
        <w:rPr>
          <w:rFonts w:ascii="宋体" w:hAnsi="宋体"/>
          <w:szCs w:val="21"/>
        </w:rPr>
        <w:t>如法律法规或监管机关</w:t>
      </w:r>
      <w:r>
        <w:rPr>
          <w:rFonts w:ascii="宋体" w:hAnsi="宋体" w:hint="eastAsia"/>
          <w:szCs w:val="21"/>
        </w:rPr>
        <w:t>对</w:t>
      </w:r>
      <w:r>
        <w:rPr>
          <w:rFonts w:ascii="宋体" w:hAnsi="宋体"/>
          <w:szCs w:val="21"/>
        </w:rPr>
        <w:t>前述内容另有规定的，按其规定处理。</w:t>
      </w:r>
    </w:p>
    <w:p w:rsidR="00175D68" w:rsidRDefault="005D0F16">
      <w:pPr>
        <w:pStyle w:val="30"/>
        <w:spacing w:before="100" w:beforeAutospacing="1" w:after="100" w:afterAutospacing="1" w:line="400" w:lineRule="exact"/>
        <w:ind w:left="0" w:right="26" w:firstLine="403"/>
        <w:rPr>
          <w:rFonts w:ascii="宋体" w:eastAsia="宋体" w:hAnsi="宋体" w:cs="方正仿宋简体"/>
          <w:sz w:val="21"/>
          <w:szCs w:val="21"/>
        </w:rPr>
      </w:pPr>
      <w:r>
        <w:rPr>
          <w:rFonts w:ascii="宋体" w:eastAsia="宋体" w:hAnsi="宋体" w:cs="方正仿宋简体" w:hint="eastAsia"/>
          <w:sz w:val="21"/>
          <w:szCs w:val="21"/>
        </w:rPr>
        <w:lastRenderedPageBreak/>
        <w:t>6</w:t>
      </w:r>
      <w:r>
        <w:rPr>
          <w:rFonts w:ascii="宋体" w:eastAsia="宋体" w:hAnsi="宋体" w:cs="方正仿宋简体" w:hint="eastAsia"/>
          <w:sz w:val="21"/>
          <w:szCs w:val="21"/>
        </w:rPr>
        <w:t>、</w:t>
      </w:r>
      <w:r>
        <w:rPr>
          <w:rFonts w:ascii="宋体" w:eastAsia="宋体" w:hAnsi="宋体" w:hint="eastAsia"/>
          <w:sz w:val="21"/>
          <w:szCs w:val="21"/>
        </w:rPr>
        <w:t>由于基金管理人对外公布的任何基金净值数据错误，导致该基金财产或基金份额持有人的实际损失，基金管理人应对此承担责任。若基金托管人计算的净值数据正确，则基金托管人对该损失不承</w:t>
      </w:r>
      <w:r>
        <w:rPr>
          <w:rFonts w:ascii="宋体" w:eastAsia="宋体" w:hAnsi="宋体" w:hint="eastAsia"/>
          <w:sz w:val="21"/>
          <w:szCs w:val="21"/>
        </w:rPr>
        <w:t>担责任；若基金托管人计算的净值数据也不正确，则基金托管人也应承担未正确履行复核义务的相应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175D68" w:rsidRDefault="005D0F16">
      <w:pPr>
        <w:pStyle w:val="30"/>
        <w:spacing w:before="100" w:beforeAutospacing="1" w:after="100" w:afterAutospacing="1" w:line="400" w:lineRule="exact"/>
        <w:ind w:left="0" w:right="26" w:firstLine="403"/>
        <w:rPr>
          <w:rFonts w:ascii="宋体" w:eastAsia="宋体" w:hAnsi="宋体" w:cs="方正仿宋简体"/>
          <w:sz w:val="21"/>
          <w:szCs w:val="21"/>
        </w:rPr>
      </w:pPr>
      <w:r>
        <w:rPr>
          <w:rFonts w:ascii="宋体" w:eastAsia="宋体" w:hAnsi="宋体" w:cs="方正仿宋简体" w:hint="eastAsia"/>
          <w:sz w:val="21"/>
          <w:szCs w:val="21"/>
        </w:rPr>
        <w:t>7</w:t>
      </w:r>
      <w:r>
        <w:rPr>
          <w:rFonts w:ascii="宋体" w:eastAsia="宋体" w:hAnsi="宋体" w:cs="方正仿宋简体" w:hint="eastAsia"/>
          <w:sz w:val="21"/>
          <w:szCs w:val="21"/>
        </w:rPr>
        <w:t>、</w:t>
      </w:r>
      <w:r>
        <w:rPr>
          <w:rFonts w:ascii="宋体" w:eastAsia="宋体" w:hAnsi="宋体" w:cs="方正仿宋简体" w:hint="eastAsia"/>
          <w:sz w:val="21"/>
          <w:szCs w:val="21"/>
        </w:rPr>
        <w:t xml:space="preserve"> </w:t>
      </w:r>
      <w:r>
        <w:rPr>
          <w:rFonts w:ascii="宋体" w:eastAsia="宋体" w:hAnsi="宋体" w:hint="eastAsia"/>
          <w:kern w:val="0"/>
          <w:sz w:val="21"/>
          <w:szCs w:val="21"/>
        </w:rPr>
        <w:t>由于证券交易所、期货交易所、登记结算公司、第三方估值机构发送的数据错误，或由于其他不可抗力原因，</w:t>
      </w:r>
      <w:r>
        <w:rPr>
          <w:rFonts w:ascii="宋体" w:eastAsia="宋体" w:hAnsi="宋体"/>
          <w:kern w:val="0"/>
          <w:sz w:val="21"/>
          <w:szCs w:val="21"/>
        </w:rPr>
        <w:t>基金管理人和基金托管人虽然已经采取必要、适当、合理的</w:t>
      </w:r>
      <w:r>
        <w:rPr>
          <w:rFonts w:ascii="宋体" w:eastAsia="宋体" w:hAnsi="宋体"/>
          <w:kern w:val="0"/>
          <w:sz w:val="21"/>
          <w:szCs w:val="21"/>
        </w:rPr>
        <w:t>措施进行检查，但是未能发现该错误的，由此造成的基金资产估值错误，基金管理人和基金托管人免除赔偿责任。但基金管理人和基金托管人应当积极采取必要的措施</w:t>
      </w:r>
      <w:r>
        <w:rPr>
          <w:rFonts w:ascii="宋体" w:eastAsia="宋体" w:hAnsi="宋体" w:hint="eastAsia"/>
          <w:kern w:val="0"/>
          <w:sz w:val="21"/>
          <w:szCs w:val="21"/>
        </w:rPr>
        <w:t>减轻或</w:t>
      </w:r>
      <w:r>
        <w:rPr>
          <w:rFonts w:ascii="宋体" w:eastAsia="宋体" w:hAnsi="宋体"/>
          <w:kern w:val="0"/>
          <w:sz w:val="21"/>
          <w:szCs w:val="21"/>
        </w:rPr>
        <w:t>消除由此造成的影响。</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8</w:t>
      </w:r>
      <w:r>
        <w:rPr>
          <w:rFonts w:ascii="宋体" w:eastAsia="宋体" w:hAnsi="宋体" w:hint="eastAsia"/>
          <w:sz w:val="21"/>
          <w:szCs w:val="21"/>
        </w:rPr>
        <w:t>、如果基金托管人的复核结果与基金管理人的计算结果存在差异，且双方经协商未能达成一致，基金管理人可以按照其对基金份额净值的计算结果对外予以公布，基金托管人可以将相关情况报中国证监会备案。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（二）基金会计核算</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、基金账册的建立</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、会计数据和财务指标的核对</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基金管理人和基金托管人应定期就会计数据和财务指标进行核对。如发现存在不符，双方应及时查明原因并纠正。</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rPr>
        <w:t>、基金财务报表和定期报告的编制和复核</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基金财务报表由基金管理人和基金托管人每月分别独立编制。月度报表的编制，应于每月终了后</w:t>
      </w:r>
      <w:r>
        <w:rPr>
          <w:rFonts w:ascii="宋体" w:eastAsia="宋体" w:hAnsi="宋体"/>
          <w:sz w:val="21"/>
          <w:szCs w:val="21"/>
        </w:rPr>
        <w:t>5</w:t>
      </w:r>
      <w:r>
        <w:rPr>
          <w:rFonts w:ascii="宋体" w:eastAsia="宋体" w:hAnsi="宋体" w:hint="eastAsia"/>
          <w:sz w:val="21"/>
          <w:szCs w:val="21"/>
        </w:rPr>
        <w:t>个工作日内完成；季度报告应在每个季度结束之日起</w:t>
      </w:r>
      <w:r>
        <w:rPr>
          <w:rFonts w:ascii="宋体" w:eastAsia="宋体" w:hAnsi="宋体" w:hint="eastAsia"/>
          <w:sz w:val="21"/>
          <w:szCs w:val="21"/>
        </w:rPr>
        <w:t>10</w:t>
      </w:r>
      <w:r>
        <w:rPr>
          <w:rFonts w:ascii="宋体" w:eastAsia="宋体" w:hAnsi="宋体" w:hint="eastAsia"/>
          <w:sz w:val="21"/>
          <w:szCs w:val="21"/>
        </w:rPr>
        <w:t>个工作日内编制完毕并于每个季度结束之日起</w:t>
      </w:r>
      <w:r>
        <w:rPr>
          <w:rFonts w:ascii="宋体" w:eastAsia="宋体" w:hAnsi="宋体" w:hint="eastAsia"/>
          <w:sz w:val="21"/>
          <w:szCs w:val="21"/>
        </w:rPr>
        <w:t>15</w:t>
      </w:r>
      <w:r>
        <w:rPr>
          <w:rFonts w:ascii="宋体" w:eastAsia="宋体" w:hAnsi="宋体" w:hint="eastAsia"/>
          <w:sz w:val="21"/>
          <w:szCs w:val="21"/>
        </w:rPr>
        <w:t>个工作日内予以公告；中期报告在上半年结束之日起两个月内编</w:t>
      </w:r>
      <w:r>
        <w:rPr>
          <w:rFonts w:ascii="宋体" w:eastAsia="宋体" w:hAnsi="宋体" w:hint="eastAsia"/>
          <w:sz w:val="21"/>
          <w:szCs w:val="21"/>
        </w:rPr>
        <w:lastRenderedPageBreak/>
        <w:t>制并公告；年度报告在每年结束之日起三个月内编制并公告。</w:t>
      </w:r>
      <w:r>
        <w:rPr>
          <w:rFonts w:ascii="宋体" w:eastAsia="宋体" w:hAnsi="宋体" w:hint="eastAsia"/>
          <w:color w:val="000000"/>
          <w:sz w:val="21"/>
          <w:szCs w:val="21"/>
        </w:rPr>
        <w:t>基金合同生效不足两个月的，基金管理人可以不编制当期季度报告、中期报告或者年度报告。</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基金管理人在月度报表完成当日，将报表盖章后提供给基金托管人复核；基金托管人在收到后应</w:t>
      </w:r>
      <w:r>
        <w:rPr>
          <w:rFonts w:ascii="宋体" w:eastAsia="宋体" w:hAnsi="宋体" w:hint="eastAsia"/>
          <w:sz w:val="21"/>
          <w:szCs w:val="21"/>
        </w:rPr>
        <w:t>3</w:t>
      </w:r>
      <w:r>
        <w:rPr>
          <w:rFonts w:ascii="宋体" w:eastAsia="宋体" w:hAnsi="宋体" w:hint="eastAsia"/>
          <w:sz w:val="21"/>
          <w:szCs w:val="21"/>
        </w:rPr>
        <w:t>个工作日内进行复核，并将复核结果书面通知基金管理人。基金管理人在季度报告完成当日，将有关报告提供给基金托管人复核，基金托管人应在收到后</w:t>
      </w:r>
      <w:r>
        <w:rPr>
          <w:rFonts w:ascii="宋体" w:eastAsia="宋体" w:hAnsi="宋体" w:hint="eastAsia"/>
          <w:sz w:val="21"/>
          <w:szCs w:val="21"/>
        </w:rPr>
        <w:t>5</w:t>
      </w:r>
      <w:r>
        <w:rPr>
          <w:rFonts w:ascii="宋体" w:eastAsia="宋体" w:hAnsi="宋体" w:hint="eastAsia"/>
          <w:sz w:val="21"/>
          <w:szCs w:val="21"/>
        </w:rPr>
        <w:t>个</w:t>
      </w:r>
      <w:r>
        <w:rPr>
          <w:rFonts w:ascii="宋体" w:eastAsia="宋体" w:hAnsi="宋体" w:hint="eastAsia"/>
          <w:sz w:val="21"/>
          <w:szCs w:val="21"/>
        </w:rPr>
        <w:t>工作日内完成复核，并将复核结果书面通知基金管理人。基金管理人在中期报告完成当日，将有关报告提供给基金托管人复核，基金托管人应在收到后</w:t>
      </w:r>
      <w:r>
        <w:rPr>
          <w:rFonts w:ascii="宋体" w:eastAsia="宋体" w:hAnsi="宋体" w:hint="eastAsia"/>
          <w:sz w:val="21"/>
          <w:szCs w:val="21"/>
        </w:rPr>
        <w:t>10</w:t>
      </w:r>
      <w:r>
        <w:rPr>
          <w:rFonts w:ascii="宋体" w:eastAsia="宋体" w:hAnsi="宋体" w:hint="eastAsia"/>
          <w:sz w:val="21"/>
          <w:szCs w:val="21"/>
        </w:rPr>
        <w:t>个工作日内完成复核，并将复核结果书面通知基金管理人。基金管理人在年度报告完成当日，将有关报告提供基金托管人复核，基金托管人应在收到后</w:t>
      </w:r>
      <w:r>
        <w:rPr>
          <w:rFonts w:ascii="宋体" w:eastAsia="宋体" w:hAnsi="宋体" w:hint="eastAsia"/>
          <w:sz w:val="21"/>
          <w:szCs w:val="21"/>
        </w:rPr>
        <w:t>15</w:t>
      </w:r>
      <w:r>
        <w:rPr>
          <w:rFonts w:ascii="宋体" w:eastAsia="宋体" w:hAnsi="宋体" w:hint="eastAsia"/>
          <w:sz w:val="21"/>
          <w:szCs w:val="21"/>
        </w:rPr>
        <w:t>个工作日内完成复核，并将复核结果书面通知基金管理人。基金管理人和基金托管人之间的上述文件往来均以传真的方式或双方商定的其他方式进行。</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基金托管人在复核过程中，发现双方的报表存在不符时，基金管理人和基金托管人应共同查明原因，进行调整，调整以双</w:t>
      </w:r>
      <w:r>
        <w:rPr>
          <w:rFonts w:ascii="宋体" w:eastAsia="宋体" w:hAnsi="宋体" w:hint="eastAsia"/>
          <w:sz w:val="21"/>
          <w:szCs w:val="21"/>
        </w:rPr>
        <w:t>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175D68" w:rsidRDefault="00175D68">
      <w:pPr>
        <w:pStyle w:val="30"/>
        <w:spacing w:before="100" w:beforeAutospacing="1" w:after="100" w:afterAutospacing="1" w:line="400" w:lineRule="exact"/>
        <w:ind w:left="0" w:right="26" w:firstLine="403"/>
        <w:rPr>
          <w:rFonts w:ascii="宋体" w:eastAsia="宋体" w:hAnsi="宋体"/>
          <w:sz w:val="21"/>
          <w:szCs w:val="21"/>
        </w:rPr>
      </w:pPr>
    </w:p>
    <w:p w:rsidR="00175D68" w:rsidRDefault="005D0F16">
      <w:pPr>
        <w:pStyle w:val="1"/>
        <w:spacing w:before="100" w:beforeAutospacing="1" w:after="100" w:afterAutospacing="1" w:line="400" w:lineRule="exact"/>
        <w:ind w:firstLine="422"/>
        <w:rPr>
          <w:rFonts w:ascii="宋体" w:hAnsi="宋体"/>
          <w:sz w:val="21"/>
          <w:szCs w:val="21"/>
        </w:rPr>
      </w:pPr>
      <w:bookmarkStart w:id="17" w:name="_Toc116900104"/>
      <w:r>
        <w:rPr>
          <w:rFonts w:ascii="宋体" w:hAnsi="宋体" w:hint="eastAsia"/>
          <w:sz w:val="21"/>
          <w:szCs w:val="21"/>
        </w:rPr>
        <w:t>九、基金收益分配</w:t>
      </w:r>
      <w:bookmarkEnd w:id="17"/>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（一）基金收益分配的依据</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、基金收益分配是指将该基金期末可供分配利润根据持有该基金份额的数量按比例向该基金份额持有人进行分配。期末可供分</w:t>
      </w:r>
      <w:r>
        <w:rPr>
          <w:rFonts w:ascii="宋体" w:eastAsia="宋体" w:hAnsi="宋体" w:hint="eastAsia"/>
          <w:sz w:val="21"/>
          <w:szCs w:val="21"/>
        </w:rPr>
        <w:t>配利润采用期末资产负债表中未分配利润与未分配利润中已实现部分的孰低数。</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、收益分配应该符合《基金合同》关于收益分配原则的规定。</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（二）基金收益分配的时间和程序</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、基金收益分配方案由基金管理人根据《基金合同》的相关规定制定。</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、基金管理人应于收益分配日之前将其制定的收益分配方案提交基金托管人复核，基金托管人应于收到收益分配方案后完成对收益分配方案的复核，并及时公告；如果基金管理</w:t>
      </w:r>
      <w:r>
        <w:rPr>
          <w:rFonts w:ascii="宋体" w:eastAsia="宋体" w:hAnsi="宋体" w:hint="eastAsia"/>
          <w:sz w:val="21"/>
          <w:szCs w:val="21"/>
        </w:rPr>
        <w:lastRenderedPageBreak/>
        <w:t>人与基金托管人不能于收益分配日之前就收益分配方案达成一致，基金托管人有义务将收益分配方案及相关情况的说明提交中国证监会备案并书面</w:t>
      </w:r>
      <w:r>
        <w:rPr>
          <w:rFonts w:ascii="宋体" w:eastAsia="宋体" w:hAnsi="宋体" w:hint="eastAsia"/>
          <w:sz w:val="21"/>
          <w:szCs w:val="21"/>
        </w:rPr>
        <w:t>通知基金管理人，在上述文件提交完毕之日起基金管理人有权利对外公告其拟订的收益分配方案，且基金托管人有义务协助基金管理人实施该收益分配方案，但有证据证明该方案违反法律法规及《基金合同》的除外。</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rPr>
        <w:t>、基金收益分配可采用现金红利的方式，或者将现金红利自动转为基金份额进行再投资的方式（下称“再投资方式”），投资者可以选择两种方式中的一种；如果投资者没有明示选择，则视为选择现金红利的方式处理。</w:t>
      </w:r>
    </w:p>
    <w:p w:rsidR="00175D68" w:rsidRDefault="005D0F16">
      <w:pPr>
        <w:pStyle w:val="30"/>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4</w:t>
      </w:r>
      <w:r>
        <w:rPr>
          <w:rFonts w:ascii="宋体" w:eastAsia="宋体" w:hAnsi="宋体" w:hint="eastAsia"/>
          <w:sz w:val="21"/>
          <w:szCs w:val="21"/>
        </w:rPr>
        <w:t>、基金托管人根据基金管理人的收益分配方案和提供的现金红利金额的数据，在红利发放日将分红资金划入基金管理人指定账户。如果投资</w:t>
      </w:r>
      <w:r>
        <w:rPr>
          <w:rFonts w:ascii="宋体" w:eastAsia="宋体" w:hAnsi="宋体" w:hint="eastAsia"/>
          <w:sz w:val="21"/>
          <w:szCs w:val="21"/>
        </w:rPr>
        <w:t>者选择转购基金份额，基金管理人和基金托管人则应当进行红利再投资的账务处理。</w:t>
      </w:r>
    </w:p>
    <w:p w:rsidR="00175D68" w:rsidRDefault="00175D68">
      <w:pPr>
        <w:pStyle w:val="30"/>
        <w:spacing w:before="100" w:beforeAutospacing="1" w:after="100" w:afterAutospacing="1" w:line="400" w:lineRule="exact"/>
        <w:ind w:left="0" w:right="26" w:firstLine="403"/>
        <w:rPr>
          <w:rFonts w:ascii="宋体" w:eastAsia="宋体" w:hAnsi="宋体"/>
          <w:sz w:val="21"/>
          <w:szCs w:val="21"/>
        </w:rPr>
      </w:pPr>
    </w:p>
    <w:p w:rsidR="00175D68" w:rsidRDefault="005D0F16">
      <w:pPr>
        <w:pStyle w:val="1"/>
        <w:spacing w:before="100" w:beforeAutospacing="1" w:after="100" w:afterAutospacing="1" w:line="400" w:lineRule="exact"/>
        <w:ind w:firstLine="422"/>
        <w:rPr>
          <w:rFonts w:ascii="宋体" w:hAnsi="宋体"/>
          <w:sz w:val="21"/>
          <w:szCs w:val="21"/>
        </w:rPr>
      </w:pPr>
      <w:bookmarkStart w:id="18" w:name="_Toc116900105"/>
      <w:r>
        <w:rPr>
          <w:rFonts w:ascii="宋体" w:hAnsi="宋体" w:hint="eastAsia"/>
          <w:sz w:val="21"/>
          <w:szCs w:val="21"/>
        </w:rPr>
        <w:t>十、基金信息披露</w:t>
      </w:r>
      <w:bookmarkEnd w:id="18"/>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（一）保密义务</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除按照法律法规中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w:t>
      </w:r>
      <w:r>
        <w:rPr>
          <w:rFonts w:ascii="宋体" w:eastAsia="宋体" w:hint="eastAsia"/>
          <w:color w:val="auto"/>
          <w:sz w:val="21"/>
          <w:szCs w:val="21"/>
        </w:rPr>
        <w:t>、非因基金管理人和基金托管人的原因导致保密信息被披露、泄露或公开；</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2</w:t>
      </w:r>
      <w:r>
        <w:rPr>
          <w:rFonts w:ascii="宋体" w:eastAsia="宋体" w:hint="eastAsia"/>
          <w:color w:val="auto"/>
          <w:sz w:val="21"/>
          <w:szCs w:val="21"/>
        </w:rPr>
        <w:t>、基金管理人和基金托管人为遵守和服从法院判决、仲裁裁决或中国证监会等监管机构的命令、决定所做出的信息披露或公开。</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（二）基金管理人和基金托管人在信息披露中的职责和信息披露程序</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w:t>
      </w:r>
      <w:r>
        <w:rPr>
          <w:rFonts w:ascii="宋体" w:eastAsia="宋体" w:hint="eastAsia"/>
          <w:color w:val="auto"/>
          <w:sz w:val="21"/>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2</w:t>
      </w:r>
      <w:r>
        <w:rPr>
          <w:rFonts w:ascii="宋体" w:eastAsia="宋体" w:hint="eastAsia"/>
          <w:color w:val="auto"/>
          <w:sz w:val="21"/>
          <w:szCs w:val="21"/>
        </w:rPr>
        <w:t>、本基金信息披露的所有文件，包括《基金合同》和本协议规定的定期报告、临时报告、基金净值公告及其他必要的公告文件，由基金管理人和基金托管人按照有</w:t>
      </w:r>
      <w:r>
        <w:rPr>
          <w:rFonts w:ascii="宋体" w:eastAsia="宋体" w:hint="eastAsia"/>
          <w:color w:val="auto"/>
          <w:sz w:val="21"/>
          <w:szCs w:val="21"/>
        </w:rPr>
        <w:t>关法律法规的</w:t>
      </w:r>
      <w:r>
        <w:rPr>
          <w:rFonts w:ascii="宋体" w:eastAsia="宋体" w:hint="eastAsia"/>
          <w:color w:val="auto"/>
          <w:sz w:val="21"/>
          <w:szCs w:val="21"/>
        </w:rPr>
        <w:lastRenderedPageBreak/>
        <w:t>规定予以公布。</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3</w:t>
      </w:r>
      <w:r>
        <w:rPr>
          <w:rFonts w:ascii="宋体" w:eastAsia="宋体" w:hint="eastAsia"/>
          <w:color w:val="auto"/>
          <w:sz w:val="21"/>
          <w:szCs w:val="21"/>
        </w:rPr>
        <w:t>、基金年度报告中的财务会计报告必须经具有从事证券、期货相关业务资格的会计师事务所审计。</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4</w:t>
      </w:r>
      <w:r>
        <w:rPr>
          <w:rFonts w:ascii="宋体" w:eastAsia="宋体" w:hint="eastAsia"/>
          <w:color w:val="auto"/>
          <w:sz w:val="21"/>
          <w:szCs w:val="21"/>
        </w:rPr>
        <w:t>、本基金的信息披露，应通过中国证监会指定的媒介进行；基金管理人、基金托管人可以根据需要在其他公共媒介披露信息，但是其他公共媒介不得早于指定媒介披露信息，并且在不同媒介上披露同一信息的内容应当一致。</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5</w:t>
      </w:r>
      <w:r>
        <w:rPr>
          <w:rFonts w:ascii="宋体" w:eastAsia="宋体" w:hint="eastAsia"/>
          <w:color w:val="auto"/>
          <w:sz w:val="21"/>
          <w:szCs w:val="21"/>
        </w:rPr>
        <w:t>、信息文本的存放与备查</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基金管理人、基金托管人应根据相关法律法规、《基金合同》的规定将招募说明书、定期报告等文本存放在基金管理人、基金托管人的住所，并接受基金份额持有人的查询和复制要求。基金管</w:t>
      </w:r>
      <w:r>
        <w:rPr>
          <w:rFonts w:ascii="宋体" w:eastAsia="宋体" w:hint="eastAsia"/>
          <w:color w:val="auto"/>
          <w:sz w:val="21"/>
          <w:szCs w:val="21"/>
        </w:rPr>
        <w:t>理人、基金托管人应为文本存放、基金份额持有人查询有关文件提供必要的场所和其他便利。</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基金管理人和基金托管人应保证文本的内容与所公告的内容完全一致。</w:t>
      </w:r>
    </w:p>
    <w:p w:rsidR="00175D68" w:rsidRDefault="005D0F16">
      <w:pPr>
        <w:adjustRightInd w:val="0"/>
        <w:snapToGrid w:val="0"/>
        <w:spacing w:line="360" w:lineRule="auto"/>
        <w:ind w:firstLineChars="200" w:firstLine="420"/>
        <w:rPr>
          <w:rFonts w:ascii="宋体" w:hAnsi="宋体" w:cs="方正仿宋简体"/>
          <w:szCs w:val="21"/>
        </w:rPr>
      </w:pPr>
      <w:r>
        <w:rPr>
          <w:rFonts w:ascii="宋体" w:hAnsi="宋体" w:hint="eastAsia"/>
          <w:szCs w:val="21"/>
        </w:rPr>
        <w:t>6</w:t>
      </w:r>
      <w:r>
        <w:rPr>
          <w:rFonts w:ascii="宋体" w:hAnsi="宋体" w:hint="eastAsia"/>
          <w:szCs w:val="21"/>
        </w:rPr>
        <w:t>、</w:t>
      </w:r>
      <w:r>
        <w:rPr>
          <w:rFonts w:ascii="宋体" w:hAnsi="宋体" w:cs="方正仿宋简体" w:hint="eastAsia"/>
          <w:szCs w:val="21"/>
        </w:rPr>
        <w:t>对于因不可抗力等原因导致基金信息的暂停或延迟披露的（如暂停披露基金净值信息），基金管理人应及时向中国证监会报告，并与基金托管人协商采取补救措施。不可抗力等情形消失后，基金管理人和基金托管人应及时恢复办理信息披露。</w:t>
      </w:r>
    </w:p>
    <w:p w:rsidR="00175D68" w:rsidRDefault="005D0F16">
      <w:pPr>
        <w:adjustRightInd w:val="0"/>
        <w:snapToGrid w:val="0"/>
        <w:spacing w:line="360" w:lineRule="auto"/>
        <w:ind w:firstLineChars="200" w:firstLine="420"/>
        <w:rPr>
          <w:rFonts w:ascii="宋体" w:hAnsi="宋体" w:cs="方正仿宋简体"/>
          <w:szCs w:val="21"/>
        </w:rPr>
      </w:pPr>
      <w:r>
        <w:rPr>
          <w:rFonts w:ascii="宋体" w:hAnsi="宋体" w:cs="方正仿宋简体" w:hint="eastAsia"/>
          <w:szCs w:val="21"/>
        </w:rPr>
        <w:t>7</w:t>
      </w:r>
      <w:r>
        <w:rPr>
          <w:rFonts w:ascii="宋体" w:hAnsi="宋体" w:cs="方正仿宋简体" w:hint="eastAsia"/>
          <w:szCs w:val="21"/>
        </w:rPr>
        <w:t>、暂停或延迟披露基金信息的情形</w:t>
      </w:r>
    </w:p>
    <w:p w:rsidR="00175D68" w:rsidRDefault="005D0F16">
      <w:pPr>
        <w:adjustRightInd w:val="0"/>
        <w:snapToGrid w:val="0"/>
        <w:spacing w:line="360" w:lineRule="auto"/>
        <w:ind w:firstLineChars="200" w:firstLine="420"/>
        <w:rPr>
          <w:rFonts w:ascii="宋体" w:hAnsi="宋体" w:cs="方正仿宋简体"/>
          <w:szCs w:val="21"/>
        </w:rPr>
      </w:pPr>
      <w:r>
        <w:rPr>
          <w:rFonts w:ascii="宋体" w:hAnsi="宋体" w:cs="方正仿宋简体" w:hint="eastAsia"/>
          <w:szCs w:val="21"/>
        </w:rPr>
        <w:t>当出现下述情况时，基金管理人和基金托管人可暂停或延迟披露基金相关信息：</w:t>
      </w:r>
    </w:p>
    <w:p w:rsidR="00175D68" w:rsidRDefault="005D0F16">
      <w:pPr>
        <w:adjustRightInd w:val="0"/>
        <w:snapToGrid w:val="0"/>
        <w:spacing w:line="360" w:lineRule="auto"/>
        <w:ind w:firstLineChars="200" w:firstLine="420"/>
        <w:rPr>
          <w:rFonts w:ascii="宋体" w:hAnsi="宋体" w:cs="方正仿宋简体"/>
          <w:szCs w:val="21"/>
        </w:rPr>
      </w:pPr>
      <w:r>
        <w:rPr>
          <w:rFonts w:ascii="宋体" w:hAnsi="宋体" w:cs="方正仿宋简体" w:hint="eastAsia"/>
          <w:szCs w:val="21"/>
        </w:rPr>
        <w:t>（</w:t>
      </w:r>
      <w:r>
        <w:rPr>
          <w:rFonts w:ascii="宋体" w:hAnsi="宋体" w:cs="方正仿宋简体" w:hint="eastAsia"/>
          <w:szCs w:val="21"/>
        </w:rPr>
        <w:t>1</w:t>
      </w:r>
      <w:r>
        <w:rPr>
          <w:rFonts w:ascii="宋体" w:hAnsi="宋体" w:cs="方正仿宋简体" w:hint="eastAsia"/>
          <w:szCs w:val="21"/>
        </w:rPr>
        <w:t>）不可抗力或其他情形致使基金管理人、</w:t>
      </w:r>
      <w:r>
        <w:rPr>
          <w:rFonts w:ascii="宋体" w:hAnsi="宋体" w:cs="方正仿宋简体" w:hint="eastAsia"/>
          <w:szCs w:val="21"/>
        </w:rPr>
        <w:t>基金托管人无法准确评估基金资产价值时；</w:t>
      </w:r>
    </w:p>
    <w:p w:rsidR="00175D68" w:rsidRDefault="005D0F16">
      <w:pPr>
        <w:adjustRightInd w:val="0"/>
        <w:snapToGrid w:val="0"/>
        <w:spacing w:line="360" w:lineRule="auto"/>
        <w:ind w:firstLineChars="200" w:firstLine="420"/>
        <w:rPr>
          <w:rFonts w:ascii="宋体" w:hAnsi="宋体" w:cs="方正仿宋简体"/>
          <w:szCs w:val="21"/>
        </w:rPr>
      </w:pPr>
      <w:r>
        <w:rPr>
          <w:rFonts w:ascii="宋体" w:hAnsi="宋体" w:cs="方正仿宋简体" w:hint="eastAsia"/>
          <w:szCs w:val="21"/>
        </w:rPr>
        <w:t>（</w:t>
      </w:r>
      <w:r>
        <w:rPr>
          <w:rFonts w:ascii="宋体" w:hAnsi="宋体" w:cs="方正仿宋简体" w:hint="eastAsia"/>
          <w:szCs w:val="21"/>
        </w:rPr>
        <w:t>2</w:t>
      </w:r>
      <w:r>
        <w:rPr>
          <w:rFonts w:ascii="宋体" w:hAnsi="宋体" w:cs="方正仿宋简体" w:hint="eastAsia"/>
          <w:szCs w:val="21"/>
        </w:rPr>
        <w:t>）基金投资所涉及的证券、期货交易市场或外汇市场遇法定节假日或因其他原因暂停营业时；</w:t>
      </w:r>
      <w:r>
        <w:rPr>
          <w:rFonts w:ascii="宋体" w:hAnsi="宋体" w:cs="方正仿宋简体" w:hint="eastAsia"/>
          <w:szCs w:val="21"/>
        </w:rPr>
        <w:t xml:space="preserve"> </w:t>
      </w:r>
    </w:p>
    <w:p w:rsidR="00175D68" w:rsidRDefault="005D0F16">
      <w:pPr>
        <w:adjustRightInd w:val="0"/>
        <w:snapToGrid w:val="0"/>
        <w:spacing w:line="360" w:lineRule="auto"/>
        <w:ind w:firstLineChars="200" w:firstLine="420"/>
        <w:rPr>
          <w:rFonts w:ascii="宋体" w:hAnsi="宋体" w:cs="方正仿宋简体"/>
          <w:szCs w:val="21"/>
        </w:rPr>
      </w:pPr>
      <w:r>
        <w:rPr>
          <w:rFonts w:ascii="宋体" w:hAnsi="宋体" w:cs="方正仿宋简体" w:hint="eastAsia"/>
          <w:szCs w:val="21"/>
        </w:rPr>
        <w:t>（</w:t>
      </w:r>
      <w:r>
        <w:rPr>
          <w:rFonts w:ascii="宋体" w:hAnsi="宋体" w:cs="方正仿宋简体" w:hint="eastAsia"/>
          <w:szCs w:val="21"/>
        </w:rPr>
        <w:t>3</w:t>
      </w:r>
      <w:r>
        <w:rPr>
          <w:rFonts w:ascii="宋体" w:hAnsi="宋体" w:cs="方正仿宋简体" w:hint="eastAsia"/>
          <w:szCs w:val="21"/>
        </w:rPr>
        <w:t>）法律法规、《基金合同》或中国证监会规定的情况。</w:t>
      </w:r>
    </w:p>
    <w:p w:rsidR="00175D68" w:rsidRDefault="005D0F16">
      <w:pPr>
        <w:pStyle w:val="a9"/>
        <w:spacing w:before="100" w:beforeAutospacing="1" w:after="100" w:afterAutospacing="1"/>
        <w:ind w:firstLineChars="200" w:firstLine="420"/>
        <w:rPr>
          <w:rFonts w:ascii="宋体" w:eastAsia="宋体" w:cs="方正仿宋简体"/>
          <w:color w:val="auto"/>
          <w:sz w:val="21"/>
          <w:szCs w:val="21"/>
        </w:rPr>
      </w:pPr>
      <w:r>
        <w:rPr>
          <w:rFonts w:ascii="宋体" w:eastAsia="宋体" w:cs="方正仿宋简体" w:hint="eastAsia"/>
          <w:color w:val="auto"/>
          <w:sz w:val="21"/>
          <w:szCs w:val="21"/>
        </w:rPr>
        <w:t>（三）基金托管人报告</w:t>
      </w:r>
    </w:p>
    <w:p w:rsidR="00175D68" w:rsidRDefault="005D0F16">
      <w:pPr>
        <w:pStyle w:val="a9"/>
        <w:spacing w:before="100" w:beforeAutospacing="1" w:after="100" w:afterAutospacing="1"/>
        <w:ind w:firstLineChars="200" w:firstLine="420"/>
        <w:rPr>
          <w:rFonts w:ascii="宋体" w:eastAsia="宋体" w:cs="方正仿宋简体"/>
          <w:color w:val="auto"/>
          <w:sz w:val="21"/>
          <w:szCs w:val="21"/>
        </w:rPr>
      </w:pPr>
      <w:r>
        <w:rPr>
          <w:rFonts w:ascii="宋体" w:eastAsia="宋体" w:cs="方正仿宋简体" w:hint="eastAsia"/>
          <w:color w:val="auto"/>
          <w:sz w:val="21"/>
          <w:szCs w:val="21"/>
        </w:rPr>
        <w:t>基金托管人应按《基金法》、《运作办法》、《信息披露办法》和其他有关法律法规的规定于每个上半年结束之日起两个月内、每年结束之日起三个月内在基金中期报告及年度报告中分别出具托管人报告。</w:t>
      </w:r>
    </w:p>
    <w:p w:rsidR="00175D68" w:rsidRDefault="00175D68">
      <w:pPr>
        <w:pStyle w:val="a9"/>
        <w:spacing w:before="100" w:beforeAutospacing="1" w:after="100" w:afterAutospacing="1"/>
        <w:ind w:firstLine="403"/>
        <w:rPr>
          <w:rFonts w:ascii="宋体" w:eastAsia="宋体"/>
          <w:color w:val="auto"/>
          <w:sz w:val="21"/>
          <w:szCs w:val="21"/>
        </w:rPr>
      </w:pPr>
    </w:p>
    <w:p w:rsidR="00175D68" w:rsidRDefault="005D0F16">
      <w:pPr>
        <w:pStyle w:val="1"/>
        <w:spacing w:before="100" w:beforeAutospacing="1" w:after="100" w:afterAutospacing="1" w:line="400" w:lineRule="exact"/>
        <w:ind w:firstLine="422"/>
        <w:rPr>
          <w:rFonts w:ascii="宋体" w:hAnsi="宋体"/>
          <w:sz w:val="21"/>
          <w:szCs w:val="21"/>
        </w:rPr>
      </w:pPr>
      <w:bookmarkStart w:id="19" w:name="_Toc116900106"/>
      <w:r>
        <w:rPr>
          <w:rFonts w:ascii="宋体" w:hAnsi="宋体" w:hint="eastAsia"/>
          <w:sz w:val="21"/>
          <w:szCs w:val="21"/>
        </w:rPr>
        <w:lastRenderedPageBreak/>
        <w:t>十一、基金费用</w:t>
      </w:r>
    </w:p>
    <w:p w:rsidR="00175D68" w:rsidRDefault="005D0F16">
      <w:pPr>
        <w:spacing w:before="100" w:beforeAutospacing="1" w:after="100" w:afterAutospacing="1" w:line="400" w:lineRule="exact"/>
        <w:ind w:right="26" w:firstLine="403"/>
        <w:rPr>
          <w:rFonts w:ascii="宋体" w:hAnsi="宋体"/>
          <w:szCs w:val="21"/>
        </w:rPr>
      </w:pPr>
      <w:r>
        <w:rPr>
          <w:rFonts w:ascii="宋体" w:hAnsi="宋体" w:hint="eastAsia"/>
          <w:szCs w:val="21"/>
        </w:rPr>
        <w:t>（一）基金管理人的管理费</w:t>
      </w:r>
    </w:p>
    <w:p w:rsidR="00175D68" w:rsidRDefault="005D0F16">
      <w:pPr>
        <w:autoSpaceDE w:val="0"/>
        <w:autoSpaceDN w:val="0"/>
        <w:spacing w:before="100" w:beforeAutospacing="1" w:after="100" w:afterAutospacing="1" w:line="400" w:lineRule="exact"/>
        <w:ind w:firstLine="420"/>
        <w:textAlignment w:val="bottom"/>
        <w:rPr>
          <w:rFonts w:ascii="宋体" w:hAnsi="宋体"/>
          <w:szCs w:val="21"/>
        </w:rPr>
      </w:pPr>
      <w:r>
        <w:rPr>
          <w:rFonts w:ascii="宋体" w:hAnsi="宋体" w:hint="eastAsia"/>
          <w:szCs w:val="21"/>
        </w:rPr>
        <w:t>在通常情况下，基金管理费按前一日基金资产净值的</w:t>
      </w:r>
      <w:r>
        <w:rPr>
          <w:rFonts w:ascii="宋体" w:hAnsi="宋体" w:hint="eastAsia"/>
          <w:szCs w:val="21"/>
        </w:rPr>
        <w:t>1.50%</w:t>
      </w:r>
      <w:r>
        <w:rPr>
          <w:rFonts w:ascii="宋体" w:hAnsi="宋体" w:hint="eastAsia"/>
          <w:szCs w:val="21"/>
        </w:rPr>
        <w:t>年费率计提。计算方法如下：</w:t>
      </w:r>
    </w:p>
    <w:p w:rsidR="00175D68" w:rsidRDefault="005D0F16">
      <w:pPr>
        <w:autoSpaceDE w:val="0"/>
        <w:autoSpaceDN w:val="0"/>
        <w:spacing w:before="100" w:beforeAutospacing="1" w:after="100" w:afterAutospacing="1" w:line="400" w:lineRule="exact"/>
        <w:ind w:firstLine="840"/>
        <w:textAlignment w:val="bottom"/>
        <w:rPr>
          <w:rFonts w:ascii="宋体" w:hAnsi="宋体"/>
          <w:szCs w:val="21"/>
        </w:rPr>
      </w:pPr>
      <w:r>
        <w:rPr>
          <w:rFonts w:ascii="宋体" w:hAnsi="宋体"/>
          <w:szCs w:val="21"/>
        </w:rPr>
        <w:t>H</w:t>
      </w:r>
      <w:r>
        <w:rPr>
          <w:rFonts w:ascii="宋体" w:hAnsi="宋体" w:hint="eastAsia"/>
          <w:szCs w:val="21"/>
        </w:rPr>
        <w:t>＝</w:t>
      </w:r>
      <w:r>
        <w:rPr>
          <w:rFonts w:ascii="宋体" w:hAnsi="宋体"/>
          <w:szCs w:val="21"/>
        </w:rPr>
        <w:t>E</w:t>
      </w:r>
      <w:r>
        <w:rPr>
          <w:rFonts w:ascii="宋体" w:hAnsi="宋体" w:hint="eastAsia"/>
          <w:szCs w:val="21"/>
        </w:rPr>
        <w:t>×</w:t>
      </w:r>
      <w:r>
        <w:rPr>
          <w:rFonts w:ascii="宋体" w:hAnsi="宋体" w:hint="eastAsia"/>
          <w:szCs w:val="21"/>
        </w:rPr>
        <w:t>1.50%</w:t>
      </w:r>
      <w:r>
        <w:rPr>
          <w:rFonts w:ascii="宋体" w:hAnsi="宋体" w:hint="eastAsia"/>
          <w:szCs w:val="21"/>
        </w:rPr>
        <w:t>÷当年天数</w:t>
      </w:r>
    </w:p>
    <w:p w:rsidR="00175D68" w:rsidRDefault="005D0F16">
      <w:pPr>
        <w:autoSpaceDE w:val="0"/>
        <w:autoSpaceDN w:val="0"/>
        <w:spacing w:before="100" w:beforeAutospacing="1" w:after="100" w:afterAutospacing="1" w:line="400" w:lineRule="exact"/>
        <w:ind w:firstLine="840"/>
        <w:textAlignment w:val="bottom"/>
        <w:rPr>
          <w:rFonts w:ascii="宋体" w:hAnsi="宋体"/>
          <w:szCs w:val="21"/>
        </w:rPr>
      </w:pPr>
      <w:r>
        <w:rPr>
          <w:rFonts w:ascii="宋体" w:hAnsi="宋体"/>
          <w:szCs w:val="21"/>
        </w:rPr>
        <w:t>H</w:t>
      </w:r>
      <w:r>
        <w:rPr>
          <w:rFonts w:ascii="宋体" w:hAnsi="宋体" w:hint="eastAsia"/>
          <w:szCs w:val="21"/>
        </w:rPr>
        <w:t>为每日应计提的基金管理费</w:t>
      </w:r>
    </w:p>
    <w:p w:rsidR="00175D68" w:rsidRDefault="005D0F16">
      <w:pPr>
        <w:autoSpaceDE w:val="0"/>
        <w:autoSpaceDN w:val="0"/>
        <w:spacing w:before="100" w:beforeAutospacing="1" w:after="100" w:afterAutospacing="1" w:line="400" w:lineRule="exact"/>
        <w:ind w:firstLine="840"/>
        <w:textAlignment w:val="bottom"/>
        <w:rPr>
          <w:rFonts w:ascii="宋体" w:hAnsi="宋体"/>
          <w:szCs w:val="21"/>
        </w:rPr>
      </w:pPr>
      <w:r>
        <w:rPr>
          <w:rFonts w:ascii="宋体" w:hAnsi="宋体"/>
          <w:szCs w:val="21"/>
        </w:rPr>
        <w:t>E</w:t>
      </w:r>
      <w:r>
        <w:rPr>
          <w:rFonts w:ascii="宋体" w:hAnsi="宋体" w:hint="eastAsia"/>
          <w:szCs w:val="21"/>
        </w:rPr>
        <w:t>为前一日基金资产净值</w:t>
      </w:r>
    </w:p>
    <w:p w:rsidR="00175D68" w:rsidRDefault="005D0F16">
      <w:pPr>
        <w:autoSpaceDE w:val="0"/>
        <w:autoSpaceDN w:val="0"/>
        <w:spacing w:before="100" w:beforeAutospacing="1" w:after="100" w:afterAutospacing="1" w:line="400" w:lineRule="exact"/>
        <w:ind w:firstLine="420"/>
        <w:textAlignment w:val="bottom"/>
        <w:rPr>
          <w:rFonts w:ascii="宋体" w:hAnsi="宋体"/>
          <w:szCs w:val="21"/>
        </w:rPr>
      </w:pPr>
      <w:r>
        <w:rPr>
          <w:rFonts w:ascii="宋体" w:hAnsi="宋体" w:hint="eastAsia"/>
          <w:szCs w:val="21"/>
        </w:rPr>
        <w:t>基金管理费每日计提，逐日累计至每个月月末，按月支付。由基金托管人根据与基金管理人核对一致的财务数据，自动在次月初五个工作日内、按照指定的账户路径进行资金支付，基金管理人无需再出具资金划拨指令。若遇法定节假日、公休日或不可抗力致使无法按时支付等</w:t>
      </w:r>
      <w:r>
        <w:rPr>
          <w:rFonts w:ascii="宋体" w:hAnsi="宋体" w:hint="eastAsia"/>
          <w:szCs w:val="21"/>
        </w:rPr>
        <w:t>,</w:t>
      </w:r>
      <w:r>
        <w:rPr>
          <w:rFonts w:ascii="宋体" w:hAnsi="宋体" w:hint="eastAsia"/>
          <w:szCs w:val="21"/>
        </w:rPr>
        <w:t>支付日期顺延。</w:t>
      </w:r>
    </w:p>
    <w:p w:rsidR="00175D68" w:rsidRDefault="005D0F16">
      <w:pPr>
        <w:autoSpaceDE w:val="0"/>
        <w:autoSpaceDN w:val="0"/>
        <w:spacing w:before="100" w:beforeAutospacing="1" w:after="100" w:afterAutospacing="1" w:line="400" w:lineRule="exact"/>
        <w:ind w:firstLine="420"/>
        <w:textAlignment w:val="bottom"/>
        <w:rPr>
          <w:rFonts w:ascii="宋体"/>
          <w:szCs w:val="21"/>
        </w:rPr>
      </w:pPr>
      <w:r>
        <w:rPr>
          <w:rFonts w:ascii="宋体" w:hint="eastAsia"/>
          <w:szCs w:val="21"/>
        </w:rPr>
        <w:t>（二）基金托管人的托管费</w:t>
      </w:r>
    </w:p>
    <w:p w:rsidR="00175D68" w:rsidRDefault="005D0F16">
      <w:pPr>
        <w:spacing w:before="100" w:beforeAutospacing="1" w:after="100" w:afterAutospacing="1" w:line="400" w:lineRule="exact"/>
        <w:ind w:firstLine="420"/>
        <w:rPr>
          <w:rFonts w:ascii="宋体" w:hAnsi="宋体"/>
          <w:szCs w:val="21"/>
        </w:rPr>
      </w:pPr>
      <w:r>
        <w:rPr>
          <w:rFonts w:ascii="宋体" w:hAnsi="宋体" w:hint="eastAsia"/>
          <w:szCs w:val="21"/>
        </w:rPr>
        <w:t>在通常情况下，基金托管费按前一日基金资产净值的</w:t>
      </w:r>
      <w:r>
        <w:rPr>
          <w:rFonts w:ascii="宋体" w:hAnsi="宋体"/>
          <w:szCs w:val="21"/>
        </w:rPr>
        <w:t>0.</w:t>
      </w:r>
      <w:r>
        <w:rPr>
          <w:rFonts w:ascii="宋体" w:hAnsi="宋体" w:hint="eastAsia"/>
          <w:szCs w:val="21"/>
        </w:rPr>
        <w:t>25%</w:t>
      </w:r>
      <w:r>
        <w:rPr>
          <w:rFonts w:ascii="宋体" w:hAnsi="宋体" w:hint="eastAsia"/>
          <w:szCs w:val="21"/>
        </w:rPr>
        <w:t>年费率计提。计算方法如下：</w:t>
      </w:r>
    </w:p>
    <w:p w:rsidR="00175D68" w:rsidRDefault="005D0F16">
      <w:pPr>
        <w:spacing w:before="100" w:beforeAutospacing="1" w:after="100" w:afterAutospacing="1" w:line="400" w:lineRule="exact"/>
        <w:ind w:firstLine="840"/>
        <w:rPr>
          <w:rFonts w:ascii="宋体" w:hAnsi="宋体"/>
          <w:szCs w:val="21"/>
        </w:rPr>
      </w:pPr>
      <w:r>
        <w:rPr>
          <w:rFonts w:ascii="宋体" w:hAnsi="宋体"/>
          <w:szCs w:val="21"/>
        </w:rPr>
        <w:t>H=E</w:t>
      </w:r>
      <w:r>
        <w:rPr>
          <w:rFonts w:ascii="宋体" w:hAnsi="宋体" w:hint="eastAsia"/>
          <w:szCs w:val="21"/>
        </w:rPr>
        <w:t>×</w:t>
      </w:r>
      <w:r>
        <w:rPr>
          <w:rFonts w:ascii="宋体" w:hAnsi="宋体"/>
          <w:szCs w:val="21"/>
        </w:rPr>
        <w:t>0.</w:t>
      </w:r>
      <w:r>
        <w:rPr>
          <w:rFonts w:ascii="宋体" w:hAnsi="宋体" w:hint="eastAsia"/>
          <w:szCs w:val="21"/>
        </w:rPr>
        <w:t>25%</w:t>
      </w:r>
      <w:r>
        <w:rPr>
          <w:rFonts w:ascii="宋体" w:hAnsi="宋体" w:hint="eastAsia"/>
          <w:szCs w:val="21"/>
        </w:rPr>
        <w:t>÷当年天数</w:t>
      </w:r>
    </w:p>
    <w:p w:rsidR="00175D68" w:rsidRDefault="005D0F16">
      <w:pPr>
        <w:spacing w:before="100" w:beforeAutospacing="1" w:after="100" w:afterAutospacing="1" w:line="400" w:lineRule="exact"/>
        <w:ind w:firstLine="840"/>
        <w:rPr>
          <w:rFonts w:ascii="宋体" w:hAnsi="宋体"/>
          <w:szCs w:val="21"/>
        </w:rPr>
      </w:pPr>
      <w:r>
        <w:rPr>
          <w:rFonts w:ascii="宋体" w:hAnsi="宋体"/>
          <w:szCs w:val="21"/>
        </w:rPr>
        <w:t>H</w:t>
      </w:r>
      <w:r>
        <w:rPr>
          <w:rFonts w:ascii="宋体" w:hAnsi="宋体" w:hint="eastAsia"/>
          <w:szCs w:val="21"/>
        </w:rPr>
        <w:t>为每日应计提的基金托管费</w:t>
      </w:r>
    </w:p>
    <w:p w:rsidR="00175D68" w:rsidRDefault="005D0F16">
      <w:pPr>
        <w:spacing w:before="100" w:beforeAutospacing="1" w:after="100" w:afterAutospacing="1" w:line="400" w:lineRule="exact"/>
        <w:ind w:firstLine="840"/>
        <w:rPr>
          <w:rFonts w:ascii="宋体" w:hAnsi="宋体"/>
          <w:szCs w:val="21"/>
        </w:rPr>
      </w:pPr>
      <w:r>
        <w:rPr>
          <w:rFonts w:ascii="宋体" w:hAnsi="宋体"/>
          <w:szCs w:val="21"/>
        </w:rPr>
        <w:t>E</w:t>
      </w:r>
      <w:r>
        <w:rPr>
          <w:rFonts w:ascii="宋体" w:hAnsi="宋体" w:hint="eastAsia"/>
          <w:szCs w:val="21"/>
        </w:rPr>
        <w:t>为前一日的基金资产净值</w:t>
      </w:r>
    </w:p>
    <w:p w:rsidR="00175D68" w:rsidRDefault="005D0F16">
      <w:pPr>
        <w:spacing w:line="360" w:lineRule="auto"/>
        <w:ind w:firstLineChars="200" w:firstLine="420"/>
        <w:rPr>
          <w:rFonts w:ascii="宋体"/>
          <w:szCs w:val="21"/>
        </w:rPr>
      </w:pPr>
      <w:r>
        <w:rPr>
          <w:rFonts w:ascii="宋体" w:hint="eastAsia"/>
          <w:szCs w:val="21"/>
        </w:rPr>
        <w:t>基金托管费每日计提，逐日累计至每个月月末，按月支付。由基金托管人根据与基金管理人核对一致的财务数据，自动在次月初五个工作日内、按照指定的账户路径进行资金支付，基金管理人无需再出具资金划拨指令。若遇法定节假日、公休日或不可抗力致使无法按时支付等，支付日期顺延。</w:t>
      </w:r>
    </w:p>
    <w:p w:rsidR="00175D68" w:rsidRDefault="005D0F16">
      <w:pPr>
        <w:spacing w:line="360" w:lineRule="auto"/>
        <w:ind w:firstLine="538"/>
        <w:rPr>
          <w:rFonts w:ascii="宋体"/>
          <w:szCs w:val="21"/>
        </w:rPr>
      </w:pPr>
      <w:r>
        <w:rPr>
          <w:rFonts w:ascii="宋体" w:hint="eastAsia"/>
          <w:szCs w:val="21"/>
        </w:rPr>
        <w:t>（三）从基金财产中列支基金管理人的管理费、基金托管人的托管费之外的其他基金费用，应当依据有关法律法规、《基金合同》的规定执行。</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（四）</w:t>
      </w:r>
      <w:r>
        <w:rPr>
          <w:rFonts w:ascii="宋体" w:eastAsia="宋体" w:hint="eastAsia"/>
          <w:color w:val="auto"/>
          <w:sz w:val="21"/>
          <w:szCs w:val="21"/>
        </w:rPr>
        <w:t>对于</w:t>
      </w:r>
      <w:r>
        <w:rPr>
          <w:rFonts w:ascii="宋体" w:eastAsia="宋体" w:cs="方正仿宋简体" w:hint="eastAsia"/>
          <w:sz w:val="21"/>
          <w:szCs w:val="21"/>
        </w:rPr>
        <w:t>违反法律法规、</w:t>
      </w:r>
      <w:r>
        <w:rPr>
          <w:rFonts w:ascii="宋体" w:eastAsia="宋体" w:hint="eastAsia"/>
          <w:color w:val="auto"/>
          <w:sz w:val="21"/>
          <w:szCs w:val="21"/>
        </w:rPr>
        <w:t>《基金合同》</w:t>
      </w:r>
      <w:r>
        <w:rPr>
          <w:rFonts w:ascii="宋体" w:eastAsia="宋体" w:cs="方正仿宋简体" w:hint="eastAsia"/>
          <w:sz w:val="21"/>
          <w:szCs w:val="21"/>
        </w:rPr>
        <w:t>、本协议及其他有关规定</w:t>
      </w:r>
      <w:r>
        <w:rPr>
          <w:rFonts w:ascii="宋体" w:eastAsia="宋体" w:hint="eastAsia"/>
          <w:color w:val="auto"/>
          <w:sz w:val="21"/>
          <w:szCs w:val="21"/>
        </w:rPr>
        <w:t>（包括基金费用的计提方法、计提标准、支付方式等）的基金费用，不得从任何基金财产中列支。</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（五）本基金支付给基金管理人、基金托管人的各项费用均为含税价格，具体税率适用</w:t>
      </w:r>
      <w:r>
        <w:rPr>
          <w:rFonts w:ascii="宋体" w:eastAsia="宋体" w:hint="eastAsia"/>
          <w:color w:val="auto"/>
          <w:sz w:val="21"/>
          <w:szCs w:val="21"/>
        </w:rPr>
        <w:lastRenderedPageBreak/>
        <w:t>中国税务机关的相关规定。</w:t>
      </w:r>
    </w:p>
    <w:p w:rsidR="00175D68" w:rsidRDefault="00175D68">
      <w:pPr>
        <w:pStyle w:val="a9"/>
        <w:spacing w:before="100" w:beforeAutospacing="1" w:after="100" w:afterAutospacing="1"/>
        <w:ind w:firstLine="403"/>
        <w:rPr>
          <w:rFonts w:ascii="宋体" w:eastAsia="宋体"/>
          <w:color w:val="auto"/>
          <w:sz w:val="21"/>
          <w:szCs w:val="21"/>
        </w:rPr>
      </w:pPr>
    </w:p>
    <w:p w:rsidR="00175D68" w:rsidRDefault="005D0F16">
      <w:pPr>
        <w:pStyle w:val="1"/>
        <w:spacing w:before="100" w:beforeAutospacing="1" w:after="100" w:afterAutospacing="1" w:line="400" w:lineRule="exact"/>
        <w:ind w:firstLine="422"/>
        <w:rPr>
          <w:rFonts w:ascii="宋体" w:hAnsi="宋体"/>
          <w:sz w:val="21"/>
          <w:szCs w:val="21"/>
          <w:highlight w:val="lightGray"/>
        </w:rPr>
      </w:pPr>
      <w:bookmarkStart w:id="20" w:name="_Toc116900107"/>
      <w:bookmarkEnd w:id="19"/>
      <w:r>
        <w:rPr>
          <w:rFonts w:ascii="宋体" w:hAnsi="宋体" w:hint="eastAsia"/>
          <w:sz w:val="21"/>
          <w:szCs w:val="21"/>
        </w:rPr>
        <w:t>十二、基金份额持有人名册的保管</w:t>
      </w:r>
    </w:p>
    <w:p w:rsidR="00175D68" w:rsidRDefault="005D0F16">
      <w:pPr>
        <w:pStyle w:val="1"/>
        <w:spacing w:before="100" w:beforeAutospacing="1" w:after="100" w:afterAutospacing="1" w:line="400" w:lineRule="exact"/>
        <w:ind w:firstLine="422"/>
        <w:rPr>
          <w:rFonts w:ascii="宋体" w:hAnsi="宋体"/>
          <w:b w:val="0"/>
          <w:color w:val="000000"/>
          <w:kern w:val="2"/>
          <w:sz w:val="21"/>
          <w:szCs w:val="21"/>
        </w:rPr>
      </w:pPr>
      <w:r>
        <w:rPr>
          <w:rFonts w:ascii="宋体" w:hAnsi="宋体" w:hint="eastAsia"/>
          <w:b w:val="0"/>
          <w:color w:val="000000"/>
          <w:kern w:val="2"/>
          <w:sz w:val="21"/>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少于</w:t>
      </w:r>
      <w:r>
        <w:rPr>
          <w:rFonts w:ascii="宋体" w:hAnsi="宋体" w:hint="eastAsia"/>
          <w:b w:val="0"/>
          <w:color w:val="000000"/>
          <w:kern w:val="2"/>
          <w:sz w:val="21"/>
          <w:szCs w:val="21"/>
        </w:rPr>
        <w:t>20</w:t>
      </w:r>
      <w:r>
        <w:rPr>
          <w:rFonts w:ascii="宋体" w:hAnsi="宋体" w:hint="eastAsia"/>
          <w:b w:val="0"/>
          <w:color w:val="000000"/>
          <w:kern w:val="2"/>
          <w:sz w:val="21"/>
          <w:szCs w:val="21"/>
        </w:rPr>
        <w:t>年，法律法规或</w:t>
      </w:r>
      <w:r>
        <w:rPr>
          <w:rFonts w:ascii="宋体" w:hAnsi="宋体"/>
          <w:b w:val="0"/>
          <w:color w:val="000000"/>
          <w:kern w:val="2"/>
          <w:sz w:val="21"/>
          <w:szCs w:val="21"/>
        </w:rPr>
        <w:t>监管部门</w:t>
      </w:r>
      <w:r>
        <w:rPr>
          <w:rFonts w:ascii="宋体" w:hAnsi="宋体" w:hint="eastAsia"/>
          <w:b w:val="0"/>
          <w:color w:val="000000"/>
          <w:kern w:val="2"/>
          <w:sz w:val="21"/>
          <w:szCs w:val="21"/>
        </w:rPr>
        <w:t>另有规定的除外。如不能妥善保管，则按相关法规承担责任。</w:t>
      </w:r>
    </w:p>
    <w:p w:rsidR="00175D68" w:rsidRDefault="005D0F16">
      <w:pPr>
        <w:spacing w:before="100" w:beforeAutospacing="1" w:after="100" w:afterAutospacing="1" w:line="400" w:lineRule="exact"/>
        <w:ind w:firstLineChars="200" w:firstLine="420"/>
        <w:rPr>
          <w:rFonts w:ascii="宋体" w:hAnsi="宋体"/>
          <w:color w:val="FF0000"/>
          <w:szCs w:val="21"/>
          <w:highlight w:val="lightGray"/>
        </w:rPr>
      </w:pPr>
      <w:r>
        <w:rPr>
          <w:rFonts w:ascii="宋体" w:hAnsi="宋体" w:hint="eastAsia"/>
          <w:color w:val="000000"/>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175D68" w:rsidRDefault="005D0F16">
      <w:pPr>
        <w:pStyle w:val="1"/>
        <w:spacing w:before="100" w:beforeAutospacing="1" w:after="100" w:afterAutospacing="1" w:line="400" w:lineRule="exact"/>
        <w:ind w:firstLine="422"/>
        <w:rPr>
          <w:rFonts w:ascii="宋体" w:hAnsi="宋体"/>
          <w:sz w:val="21"/>
          <w:szCs w:val="21"/>
        </w:rPr>
      </w:pPr>
      <w:r>
        <w:rPr>
          <w:rFonts w:ascii="宋体" w:hAnsi="宋体" w:hint="eastAsia"/>
          <w:sz w:val="21"/>
          <w:szCs w:val="21"/>
        </w:rPr>
        <w:t>十三、基金有关文件档案的保存</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（一）</w:t>
      </w:r>
      <w:r>
        <w:rPr>
          <w:rFonts w:ascii="宋体" w:eastAsia="宋体" w:cs="方正仿宋简体" w:hint="eastAsia"/>
          <w:sz w:val="21"/>
          <w:szCs w:val="21"/>
        </w:rPr>
        <w:t>基金管理人应保存基金财产管理业务活动的记录、账册、报表和其他相关资料，基金托管人应保存基金托管业务活动的记录、账册、报表和其他相关资料，保存期限为</w:t>
      </w:r>
      <w:r>
        <w:rPr>
          <w:rFonts w:ascii="宋体" w:eastAsia="宋体" w:cs="方正仿宋简体" w:hint="eastAsia"/>
          <w:sz w:val="21"/>
          <w:szCs w:val="21"/>
        </w:rPr>
        <w:t>15</w:t>
      </w:r>
      <w:r>
        <w:rPr>
          <w:rFonts w:ascii="宋体" w:eastAsia="宋体" w:cs="方正仿宋简体" w:hint="eastAsia"/>
          <w:sz w:val="21"/>
          <w:szCs w:val="21"/>
        </w:rPr>
        <w:t>年，法律法规或监管部门另有规定的从其</w:t>
      </w:r>
      <w:r>
        <w:rPr>
          <w:rFonts w:ascii="宋体" w:eastAsia="宋体" w:cs="方正仿宋简体" w:hint="eastAsia"/>
          <w:sz w:val="21"/>
          <w:szCs w:val="21"/>
        </w:rPr>
        <w:t>规定。</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（二）基金管理人和基金托管人应按本协议第十条的约定对各自保存的文件和档案履行保密义务。</w:t>
      </w:r>
    </w:p>
    <w:p w:rsidR="00175D68" w:rsidRDefault="00175D68">
      <w:pPr>
        <w:spacing w:before="100" w:beforeAutospacing="1" w:after="100" w:afterAutospacing="1" w:line="400" w:lineRule="exact"/>
        <w:rPr>
          <w:rFonts w:ascii="宋体" w:hAnsi="宋体"/>
          <w:szCs w:val="21"/>
        </w:rPr>
      </w:pPr>
    </w:p>
    <w:p w:rsidR="00175D68" w:rsidRDefault="005D0F16">
      <w:pPr>
        <w:pStyle w:val="1"/>
        <w:spacing w:before="100" w:beforeAutospacing="1" w:after="100" w:afterAutospacing="1" w:line="400" w:lineRule="exact"/>
        <w:ind w:firstLine="422"/>
        <w:rPr>
          <w:rFonts w:ascii="宋体" w:hAnsi="宋体"/>
          <w:sz w:val="21"/>
          <w:szCs w:val="21"/>
        </w:rPr>
      </w:pPr>
      <w:r>
        <w:rPr>
          <w:rFonts w:ascii="宋体" w:hAnsi="宋体" w:hint="eastAsia"/>
          <w:sz w:val="21"/>
          <w:szCs w:val="21"/>
        </w:rPr>
        <w:t>十四、</w:t>
      </w:r>
      <w:bookmarkStart w:id="21" w:name="_Toc116900108"/>
      <w:bookmarkEnd w:id="20"/>
      <w:r>
        <w:rPr>
          <w:rFonts w:ascii="宋体" w:hAnsi="宋体" w:hint="eastAsia"/>
          <w:sz w:val="21"/>
          <w:szCs w:val="21"/>
        </w:rPr>
        <w:t>基金托管人和基金管理人的更换</w:t>
      </w:r>
      <w:bookmarkEnd w:id="21"/>
      <w:r>
        <w:rPr>
          <w:rFonts w:ascii="宋体" w:hAnsi="宋体" w:hint="eastAsia"/>
          <w:sz w:val="21"/>
          <w:szCs w:val="21"/>
        </w:rPr>
        <w:t xml:space="preserve"> </w:t>
      </w:r>
    </w:p>
    <w:p w:rsidR="00175D68" w:rsidRDefault="005D0F16">
      <w:pPr>
        <w:spacing w:before="100" w:beforeAutospacing="1" w:after="100" w:afterAutospacing="1" w:line="400" w:lineRule="exact"/>
        <w:ind w:firstLine="420"/>
        <w:rPr>
          <w:rFonts w:ascii="宋体" w:hAnsi="宋体"/>
          <w:kern w:val="0"/>
          <w:szCs w:val="21"/>
        </w:rPr>
      </w:pPr>
      <w:r>
        <w:rPr>
          <w:rFonts w:ascii="宋体" w:hAnsi="宋体" w:hint="eastAsia"/>
          <w:szCs w:val="21"/>
        </w:rPr>
        <w:t>（一）</w:t>
      </w:r>
      <w:r>
        <w:rPr>
          <w:rFonts w:ascii="宋体" w:hAnsi="宋体"/>
          <w:kern w:val="0"/>
          <w:szCs w:val="21"/>
        </w:rPr>
        <w:t>基金管理人职责终止</w:t>
      </w:r>
      <w:r>
        <w:rPr>
          <w:rFonts w:ascii="宋体" w:hAnsi="宋体" w:hint="eastAsia"/>
          <w:kern w:val="0"/>
          <w:szCs w:val="21"/>
        </w:rPr>
        <w:t>后</w:t>
      </w:r>
      <w:r>
        <w:rPr>
          <w:rFonts w:ascii="宋体" w:hAnsi="宋体"/>
          <w:kern w:val="0"/>
          <w:szCs w:val="21"/>
        </w:rPr>
        <w:t>，</w:t>
      </w:r>
      <w:r>
        <w:rPr>
          <w:rFonts w:ascii="宋体" w:hAnsi="宋体" w:hint="eastAsia"/>
          <w:kern w:val="0"/>
          <w:szCs w:val="21"/>
        </w:rPr>
        <w:t>仍</w:t>
      </w:r>
      <w:r>
        <w:rPr>
          <w:rFonts w:ascii="宋体" w:hAnsi="宋体"/>
          <w:kern w:val="0"/>
          <w:szCs w:val="21"/>
        </w:rPr>
        <w:t>应妥善保管基金管理业务资料，</w:t>
      </w:r>
      <w:r>
        <w:rPr>
          <w:rFonts w:ascii="宋体" w:hAnsi="宋体" w:hint="eastAsia"/>
          <w:kern w:val="0"/>
          <w:szCs w:val="21"/>
        </w:rPr>
        <w:t>并与新任基金管理人或临时基金管理人</w:t>
      </w:r>
      <w:r>
        <w:rPr>
          <w:rFonts w:ascii="宋体" w:hAnsi="宋体"/>
          <w:kern w:val="0"/>
          <w:szCs w:val="21"/>
        </w:rPr>
        <w:t>及时办理基金管理业务的移交手续。</w:t>
      </w:r>
      <w:r>
        <w:rPr>
          <w:rFonts w:ascii="宋体" w:hAnsi="宋体" w:hint="eastAsia"/>
          <w:kern w:val="0"/>
          <w:szCs w:val="21"/>
        </w:rPr>
        <w:t>基金托管人应给予积极配合，并与新任基金管理人或临时基金管理人核对基金资产总值和净值。</w:t>
      </w:r>
    </w:p>
    <w:p w:rsidR="00175D68" w:rsidRDefault="005D0F16">
      <w:pPr>
        <w:spacing w:before="100" w:beforeAutospacing="1" w:after="100" w:afterAutospacing="1" w:line="400" w:lineRule="exact"/>
        <w:ind w:firstLine="420"/>
        <w:rPr>
          <w:rFonts w:ascii="宋体" w:hAnsi="宋体"/>
          <w:kern w:val="0"/>
          <w:szCs w:val="21"/>
        </w:rPr>
      </w:pPr>
      <w:r>
        <w:rPr>
          <w:rFonts w:ascii="宋体" w:hAnsi="宋体" w:hint="eastAsia"/>
          <w:szCs w:val="21"/>
        </w:rPr>
        <w:t>（二）</w:t>
      </w:r>
      <w:r>
        <w:rPr>
          <w:rFonts w:ascii="宋体" w:hAnsi="宋体"/>
          <w:kern w:val="0"/>
          <w:szCs w:val="21"/>
        </w:rPr>
        <w:t>基金托管人职责终止</w:t>
      </w:r>
      <w:r>
        <w:rPr>
          <w:rFonts w:ascii="宋体" w:hAnsi="宋体" w:hint="eastAsia"/>
          <w:kern w:val="0"/>
          <w:szCs w:val="21"/>
        </w:rPr>
        <w:t>后</w:t>
      </w:r>
      <w:r>
        <w:rPr>
          <w:rFonts w:ascii="宋体" w:hAnsi="宋体"/>
          <w:kern w:val="0"/>
          <w:szCs w:val="21"/>
        </w:rPr>
        <w:t>，</w:t>
      </w:r>
      <w:r>
        <w:rPr>
          <w:rFonts w:ascii="宋体" w:hAnsi="宋体" w:hint="eastAsia"/>
          <w:kern w:val="0"/>
          <w:szCs w:val="21"/>
        </w:rPr>
        <w:t>仍</w:t>
      </w:r>
      <w:r>
        <w:rPr>
          <w:rFonts w:ascii="宋体" w:hAnsi="宋体"/>
          <w:kern w:val="0"/>
          <w:szCs w:val="21"/>
        </w:rPr>
        <w:t>应妥善保管基金财产和基金托管业务资料，</w:t>
      </w:r>
      <w:r>
        <w:rPr>
          <w:rFonts w:ascii="宋体" w:hAnsi="宋体" w:hint="eastAsia"/>
          <w:kern w:val="0"/>
          <w:szCs w:val="21"/>
        </w:rPr>
        <w:t>并与新任基金托管人或临时基金托管人</w:t>
      </w:r>
      <w:r>
        <w:rPr>
          <w:rFonts w:ascii="宋体" w:hAnsi="宋体"/>
          <w:kern w:val="0"/>
          <w:szCs w:val="21"/>
        </w:rPr>
        <w:t>及时办理基金财产和基金托管业务的移交手续。</w:t>
      </w:r>
      <w:r>
        <w:rPr>
          <w:rFonts w:ascii="宋体" w:hAnsi="宋体" w:hint="eastAsia"/>
          <w:kern w:val="0"/>
          <w:szCs w:val="21"/>
        </w:rPr>
        <w:t>基金管理人应给予积极配合，并与新任基金托管人或临时基金托管人核对基金资产总值和净值。</w:t>
      </w:r>
    </w:p>
    <w:p w:rsidR="00175D68" w:rsidRDefault="005D0F16">
      <w:pPr>
        <w:spacing w:before="100" w:beforeAutospacing="1" w:after="100" w:afterAutospacing="1" w:line="400" w:lineRule="exact"/>
        <w:ind w:firstLineChars="200" w:firstLine="420"/>
        <w:rPr>
          <w:rFonts w:ascii="宋体" w:hAnsi="宋体"/>
          <w:kern w:val="0"/>
          <w:szCs w:val="21"/>
        </w:rPr>
      </w:pPr>
      <w:r>
        <w:rPr>
          <w:rFonts w:ascii="宋体" w:hAnsi="宋体" w:hint="eastAsia"/>
          <w:kern w:val="0"/>
          <w:szCs w:val="21"/>
        </w:rPr>
        <w:t>（三）其他事宜见《基金合同》的相关约定。</w:t>
      </w:r>
    </w:p>
    <w:p w:rsidR="00175D68" w:rsidRDefault="00175D68">
      <w:pPr>
        <w:spacing w:before="100" w:beforeAutospacing="1" w:after="100" w:afterAutospacing="1" w:line="400" w:lineRule="exact"/>
        <w:ind w:firstLine="540"/>
        <w:rPr>
          <w:rFonts w:ascii="宋体" w:hAnsi="宋体"/>
          <w:szCs w:val="21"/>
        </w:rPr>
      </w:pPr>
    </w:p>
    <w:p w:rsidR="00175D68" w:rsidRDefault="005D0F16">
      <w:pPr>
        <w:pStyle w:val="1"/>
        <w:spacing w:before="100" w:beforeAutospacing="1" w:after="100" w:afterAutospacing="1" w:line="400" w:lineRule="exact"/>
        <w:ind w:firstLine="422"/>
        <w:rPr>
          <w:rFonts w:ascii="宋体" w:hAnsi="宋体"/>
          <w:sz w:val="21"/>
          <w:szCs w:val="21"/>
        </w:rPr>
      </w:pPr>
      <w:bookmarkStart w:id="22" w:name="_Toc116900110"/>
      <w:r>
        <w:rPr>
          <w:rFonts w:ascii="宋体" w:hAnsi="宋体" w:hint="eastAsia"/>
          <w:sz w:val="21"/>
          <w:szCs w:val="21"/>
        </w:rPr>
        <w:t>十五、禁止行为</w:t>
      </w:r>
      <w:bookmarkEnd w:id="22"/>
    </w:p>
    <w:p w:rsidR="00175D68" w:rsidRDefault="005D0F16">
      <w:pPr>
        <w:adjustRightInd w:val="0"/>
        <w:snapToGrid w:val="0"/>
        <w:spacing w:before="100" w:beforeAutospacing="1" w:after="100" w:afterAutospacing="1" w:line="400" w:lineRule="exact"/>
        <w:ind w:firstLineChars="200" w:firstLine="420"/>
        <w:rPr>
          <w:rFonts w:ascii="宋体" w:hAnsi="宋体"/>
          <w:szCs w:val="21"/>
        </w:rPr>
      </w:pPr>
      <w:r>
        <w:rPr>
          <w:rFonts w:ascii="宋体" w:hAnsi="宋体" w:hint="eastAsia"/>
          <w:szCs w:val="21"/>
        </w:rPr>
        <w:t>（一）</w:t>
      </w:r>
      <w:r>
        <w:rPr>
          <w:rFonts w:ascii="宋体" w:hAnsi="宋体" w:cs="方正仿宋简体" w:hint="eastAsia"/>
          <w:szCs w:val="21"/>
        </w:rPr>
        <w:t>《基金法》第二十条、第三十八条禁止的行为。</w:t>
      </w:r>
    </w:p>
    <w:p w:rsidR="00175D68" w:rsidRDefault="005D0F16">
      <w:pPr>
        <w:adjustRightInd w:val="0"/>
        <w:snapToGrid w:val="0"/>
        <w:spacing w:before="100" w:beforeAutospacing="1" w:after="100" w:afterAutospacing="1" w:line="400" w:lineRule="exact"/>
        <w:ind w:firstLineChars="200" w:firstLine="420"/>
        <w:rPr>
          <w:rFonts w:ascii="宋体" w:hAnsi="宋体"/>
          <w:szCs w:val="21"/>
        </w:rPr>
      </w:pPr>
      <w:r>
        <w:rPr>
          <w:rFonts w:ascii="宋体" w:hAnsi="宋体" w:cs="方正仿宋简体" w:hint="eastAsia"/>
          <w:szCs w:val="21"/>
        </w:rPr>
        <w:t>（二）《基金法》第七十三条禁止的投资或活动。</w:t>
      </w:r>
    </w:p>
    <w:p w:rsidR="00175D68" w:rsidRDefault="005D0F16">
      <w:pPr>
        <w:adjustRightInd w:val="0"/>
        <w:snapToGrid w:val="0"/>
        <w:spacing w:before="100" w:beforeAutospacing="1" w:after="100" w:afterAutospacing="1" w:line="400" w:lineRule="exact"/>
        <w:ind w:firstLineChars="200" w:firstLine="420"/>
        <w:rPr>
          <w:rFonts w:ascii="宋体" w:hAnsi="宋体"/>
          <w:szCs w:val="21"/>
        </w:rPr>
      </w:pPr>
      <w:r>
        <w:rPr>
          <w:rFonts w:ascii="宋体" w:hAnsi="宋体" w:cs="方正仿宋简体" w:hint="eastAsia"/>
          <w:szCs w:val="21"/>
        </w:rPr>
        <w:t>（三）除根据基金管理人的指令或《基金合同》、本协议另有规定外，基金托管人不得动用或处分基金财产。</w:t>
      </w:r>
    </w:p>
    <w:p w:rsidR="00175D68" w:rsidRDefault="005D0F16">
      <w:pPr>
        <w:adjustRightInd w:val="0"/>
        <w:snapToGrid w:val="0"/>
        <w:spacing w:before="100" w:beforeAutospacing="1" w:after="100" w:afterAutospacing="1" w:line="400" w:lineRule="exact"/>
        <w:ind w:firstLineChars="200" w:firstLine="420"/>
        <w:rPr>
          <w:rFonts w:ascii="宋体" w:hAnsi="宋体"/>
          <w:szCs w:val="21"/>
        </w:rPr>
      </w:pPr>
      <w:r>
        <w:rPr>
          <w:rFonts w:ascii="宋体" w:hAnsi="宋体" w:cs="方正仿宋简体" w:hint="eastAsia"/>
          <w:szCs w:val="21"/>
        </w:rPr>
        <w:t>（四）基金管理人、基金托管人的高级管理人员和其他从业人员不得相互兼职。</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（五）法律法规、《基金合同》和本协议禁止的其他行为。</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法律法规或监管部门取消</w:t>
      </w:r>
      <w:r>
        <w:rPr>
          <w:rFonts w:ascii="宋体" w:eastAsia="宋体"/>
          <w:color w:val="auto"/>
          <w:sz w:val="21"/>
          <w:szCs w:val="21"/>
        </w:rPr>
        <w:t>或</w:t>
      </w:r>
      <w:r>
        <w:rPr>
          <w:rFonts w:ascii="宋体" w:eastAsia="宋体" w:hint="eastAsia"/>
          <w:color w:val="auto"/>
          <w:sz w:val="21"/>
          <w:szCs w:val="21"/>
        </w:rPr>
        <w:t>调整上述限制的，本基金从其规定。</w:t>
      </w:r>
    </w:p>
    <w:p w:rsidR="00175D68" w:rsidRDefault="00175D68">
      <w:pPr>
        <w:pStyle w:val="a9"/>
        <w:spacing w:before="100" w:beforeAutospacing="1" w:after="100" w:afterAutospacing="1"/>
        <w:ind w:firstLine="403"/>
        <w:rPr>
          <w:rFonts w:ascii="宋体" w:eastAsia="宋体"/>
          <w:color w:val="auto"/>
          <w:sz w:val="21"/>
          <w:szCs w:val="21"/>
        </w:rPr>
      </w:pPr>
    </w:p>
    <w:p w:rsidR="00175D68" w:rsidRDefault="005D0F16">
      <w:pPr>
        <w:pStyle w:val="1"/>
        <w:spacing w:before="100" w:beforeAutospacing="1" w:after="100" w:afterAutospacing="1" w:line="400" w:lineRule="exact"/>
        <w:ind w:firstLine="422"/>
        <w:rPr>
          <w:rFonts w:ascii="宋体" w:hAnsi="宋体"/>
          <w:sz w:val="21"/>
          <w:szCs w:val="21"/>
        </w:rPr>
      </w:pPr>
      <w:bookmarkStart w:id="23" w:name="_Toc116900111"/>
      <w:r>
        <w:rPr>
          <w:rFonts w:ascii="宋体" w:hAnsi="宋体" w:hint="eastAsia"/>
          <w:sz w:val="21"/>
          <w:szCs w:val="21"/>
        </w:rPr>
        <w:t>十六、托管协议的变更、终止与基金财产的清算</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（一）托管协议的变更</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本协议双方当事人经协商一致，可以对协议进行变更。变更后的新协议，其内容不得与《基金合同》的规定有任何冲突。变更后的新协议应当报中国证监会备案。</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（二）托管协议的终止</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发生以下情况，本托管协议应当终止：</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w:t>
      </w:r>
      <w:r>
        <w:rPr>
          <w:rFonts w:ascii="宋体" w:eastAsia="宋体" w:hint="eastAsia"/>
          <w:color w:val="auto"/>
          <w:sz w:val="21"/>
          <w:szCs w:val="21"/>
        </w:rPr>
        <w:t>、《基金合同》终止；</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2</w:t>
      </w:r>
      <w:r>
        <w:rPr>
          <w:rFonts w:ascii="宋体" w:eastAsia="宋体" w:hint="eastAsia"/>
          <w:color w:val="auto"/>
          <w:sz w:val="21"/>
          <w:szCs w:val="21"/>
        </w:rPr>
        <w:t>、本基金更换基金托管人；</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3</w:t>
      </w:r>
      <w:r>
        <w:rPr>
          <w:rFonts w:ascii="宋体" w:eastAsia="宋体" w:hint="eastAsia"/>
          <w:color w:val="auto"/>
          <w:sz w:val="21"/>
          <w:szCs w:val="21"/>
        </w:rPr>
        <w:t>、本基金更换基金管理人；</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4</w:t>
      </w:r>
      <w:r>
        <w:rPr>
          <w:rFonts w:ascii="宋体" w:eastAsia="宋体" w:hint="eastAsia"/>
          <w:color w:val="auto"/>
          <w:sz w:val="21"/>
          <w:szCs w:val="21"/>
        </w:rPr>
        <w:t>、发生《基金法》、《运作办法》或其他法律法规规定的终止事项。</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（三）基金财产的清算</w:t>
      </w:r>
    </w:p>
    <w:p w:rsidR="00175D68" w:rsidRDefault="005D0F16">
      <w:pPr>
        <w:spacing w:before="100" w:beforeAutospacing="1" w:after="100" w:afterAutospacing="1" w:line="400" w:lineRule="exact"/>
        <w:ind w:firstLine="420"/>
        <w:rPr>
          <w:rFonts w:ascii="宋体" w:hAnsi="宋体"/>
          <w:color w:val="000000"/>
          <w:kern w:val="0"/>
          <w:szCs w:val="21"/>
        </w:rPr>
      </w:pPr>
      <w:r>
        <w:rPr>
          <w:rFonts w:ascii="宋体" w:hAnsi="宋体" w:hint="eastAsia"/>
          <w:color w:val="000000"/>
          <w:kern w:val="0"/>
          <w:szCs w:val="21"/>
        </w:rPr>
        <w:lastRenderedPageBreak/>
        <w:t>基金管理人和基金托管人应按照《基金合同》及有关法律法规的规定对本基金的财产进行清算。</w:t>
      </w:r>
    </w:p>
    <w:p w:rsidR="00175D68" w:rsidRDefault="00175D68">
      <w:pPr>
        <w:spacing w:before="100" w:beforeAutospacing="1" w:after="100" w:afterAutospacing="1" w:line="400" w:lineRule="exact"/>
        <w:ind w:firstLineChars="214" w:firstLine="449"/>
        <w:rPr>
          <w:rFonts w:ascii="宋体" w:hAnsi="宋体"/>
          <w:szCs w:val="21"/>
        </w:rPr>
      </w:pPr>
    </w:p>
    <w:p w:rsidR="00175D68" w:rsidRDefault="005D0F16">
      <w:pPr>
        <w:pStyle w:val="1"/>
        <w:spacing w:before="100" w:beforeAutospacing="1" w:after="100" w:afterAutospacing="1" w:line="400" w:lineRule="exact"/>
        <w:ind w:firstLine="422"/>
        <w:rPr>
          <w:rFonts w:ascii="宋体" w:hAnsi="宋体"/>
          <w:sz w:val="21"/>
          <w:szCs w:val="21"/>
        </w:rPr>
      </w:pPr>
      <w:r>
        <w:rPr>
          <w:rFonts w:ascii="宋体" w:hAnsi="宋体" w:hint="eastAsia"/>
          <w:sz w:val="21"/>
          <w:szCs w:val="21"/>
        </w:rPr>
        <w:t>十七、违约责任和责任划分</w:t>
      </w:r>
      <w:bookmarkEnd w:id="23"/>
    </w:p>
    <w:p w:rsidR="00175D68" w:rsidRDefault="005D0F16">
      <w:pPr>
        <w:adjustRightInd w:val="0"/>
        <w:snapToGrid w:val="0"/>
        <w:spacing w:before="100" w:beforeAutospacing="1" w:after="100" w:afterAutospacing="1" w:line="400" w:lineRule="exact"/>
        <w:ind w:firstLineChars="200" w:firstLine="420"/>
        <w:rPr>
          <w:rFonts w:ascii="宋体" w:hAnsi="宋体"/>
          <w:szCs w:val="21"/>
        </w:rPr>
      </w:pPr>
      <w:r>
        <w:rPr>
          <w:rFonts w:ascii="宋体" w:hAnsi="宋体" w:hint="eastAsia"/>
          <w:szCs w:val="21"/>
        </w:rPr>
        <w:t>（一）</w:t>
      </w:r>
      <w:r>
        <w:rPr>
          <w:rFonts w:ascii="宋体" w:hAnsi="宋体" w:cs="方正仿宋简体" w:hint="eastAsia"/>
          <w:szCs w:val="21"/>
        </w:rPr>
        <w:t>本协议当事人不履行本协议或履行本协议不符合约定的，应当承担违约责任。</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（二）因本协议当事人违约给基金财产或者基金份额持有人造成损害的，应当分别对各自的行为依法承担赔偿责任，因共同行为给基金财产或者基金份额持有人造成损害的，应当承担连带赔偿责任。</w:t>
      </w:r>
      <w:r>
        <w:rPr>
          <w:rFonts w:ascii="宋体" w:eastAsia="宋体"/>
          <w:color w:val="auto"/>
          <w:sz w:val="21"/>
          <w:szCs w:val="21"/>
        </w:rPr>
        <w:t>对损失的赔偿，仅限于直接损失。</w:t>
      </w:r>
      <w:r>
        <w:rPr>
          <w:rFonts w:ascii="宋体" w:eastAsia="宋体" w:hint="eastAsia"/>
          <w:color w:val="auto"/>
          <w:sz w:val="21"/>
          <w:szCs w:val="21"/>
        </w:rPr>
        <w:t>但是发生下列情况，当事人免责：</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w:t>
      </w:r>
      <w:r>
        <w:rPr>
          <w:rFonts w:ascii="宋体" w:eastAsia="宋体" w:hint="eastAsia"/>
          <w:color w:val="auto"/>
          <w:sz w:val="21"/>
          <w:szCs w:val="21"/>
        </w:rPr>
        <w:t>、基金管理人及基金托管人按照当时有效的法律法规或中国证监会的规定作为或不作为而造成的损失等；</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2</w:t>
      </w:r>
      <w:r>
        <w:rPr>
          <w:rFonts w:ascii="宋体" w:eastAsia="宋体" w:hint="eastAsia"/>
          <w:color w:val="auto"/>
          <w:sz w:val="21"/>
          <w:szCs w:val="21"/>
        </w:rPr>
        <w:t>、基金管理人由于按照《基金合同》规定的投资原则而行使或不行使其投资权而造成的损失等；</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3</w:t>
      </w:r>
      <w:r>
        <w:rPr>
          <w:rFonts w:ascii="宋体" w:eastAsia="宋体" w:hint="eastAsia"/>
          <w:color w:val="auto"/>
          <w:sz w:val="21"/>
          <w:szCs w:val="21"/>
        </w:rPr>
        <w:t>、不可抗力；</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4</w:t>
      </w:r>
      <w:r>
        <w:rPr>
          <w:rFonts w:ascii="宋体" w:eastAsia="宋体" w:hint="eastAsia"/>
          <w:color w:val="auto"/>
          <w:sz w:val="21"/>
          <w:szCs w:val="21"/>
        </w:rPr>
        <w:t>、基金托管人对存放或存管在基金托管人以外机构的基金资产，或交由证券公司等其他机构负责清算交收的基金资产及其收益不承担任何责任；</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5</w:t>
      </w:r>
      <w:r>
        <w:rPr>
          <w:rFonts w:ascii="宋体" w:eastAsia="宋体" w:hint="eastAsia"/>
          <w:color w:val="auto"/>
          <w:sz w:val="21"/>
          <w:szCs w:val="21"/>
        </w:rPr>
        <w:t>、计算机系统故障、网络故障、通讯故障、电力故障、计算机病毒攻击及其它非基金管理人、基金托管人过错造成的意外事故。</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（三）一方当事人违反本协议，给另一方当事人造成损失的，应承担赔偿责</w:t>
      </w:r>
      <w:r>
        <w:rPr>
          <w:rFonts w:ascii="宋体" w:eastAsia="宋体" w:hint="eastAsia"/>
          <w:color w:val="auto"/>
          <w:sz w:val="21"/>
          <w:szCs w:val="21"/>
        </w:rPr>
        <w:t>任。</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（四）因不可抗力不能履行本协议的，根据不可抗力的影响，违约方部分或全部免除责任，但法律另有规定的除外。当事人迟延履行后发生不可抗力的，不能免除责任。</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（五）当事人一方违约，另一方在职责范围内有义务及时采取必要的措施，尽力防止损失的扩大。</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（六）违约行为虽已发生，但本协议能够继续履行的，在最大限度地保护基金份额持有人利益的前提下，基金管理人和基金托管人应当继续履行本协议。</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（七）为明确责任，在不影响本协议本条其他规定的普遍适用性的前提下，基金管理人</w:t>
      </w:r>
      <w:r>
        <w:rPr>
          <w:rFonts w:ascii="宋体" w:eastAsia="宋体" w:hint="eastAsia"/>
          <w:color w:val="auto"/>
          <w:sz w:val="21"/>
          <w:szCs w:val="21"/>
        </w:rPr>
        <w:lastRenderedPageBreak/>
        <w:t>和基金托管人对由于如下行为造成的损失的责任承担问题，明确</w:t>
      </w:r>
      <w:r>
        <w:rPr>
          <w:rFonts w:ascii="宋体" w:eastAsia="宋体" w:hint="eastAsia"/>
          <w:color w:val="auto"/>
          <w:sz w:val="21"/>
          <w:szCs w:val="21"/>
        </w:rPr>
        <w:t>如下：</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w:t>
      </w:r>
      <w:r>
        <w:rPr>
          <w:rFonts w:ascii="宋体" w:eastAsia="宋体" w:hint="eastAsia"/>
          <w:color w:val="auto"/>
          <w:sz w:val="21"/>
          <w:szCs w:val="21"/>
        </w:rPr>
        <w:t>、由于下达违法、违规的指令所导致的责任，由基金管理人承担；</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2</w:t>
      </w:r>
      <w:r>
        <w:rPr>
          <w:rFonts w:ascii="宋体" w:eastAsia="宋体" w:hint="eastAsia"/>
          <w:color w:val="auto"/>
          <w:sz w:val="21"/>
          <w:szCs w:val="21"/>
        </w:rPr>
        <w:t>、指令下达人员在授权通知载明的权限范围内下达的指令所导致的责任，由基金管理人承担，即使该人员下达指令并没有获得基金管理人的实际授权（例如基金管理人在撤销或变更授权权限后未能及时通知基金托管人）；</w:t>
      </w:r>
      <w:r>
        <w:rPr>
          <w:rFonts w:ascii="宋体" w:eastAsia="宋体" w:hint="eastAsia"/>
          <w:color w:val="auto"/>
          <w:sz w:val="21"/>
          <w:szCs w:val="21"/>
        </w:rPr>
        <w:t xml:space="preserve"> </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3</w:t>
      </w:r>
      <w:r>
        <w:rPr>
          <w:rFonts w:ascii="宋体" w:eastAsia="宋体" w:hint="eastAsia"/>
          <w:color w:val="auto"/>
          <w:sz w:val="21"/>
          <w:szCs w:val="21"/>
        </w:rPr>
        <w:t>、基金托管人未对指令上签名和印鉴与预留签字样本和预留印鉴进行表面真实性审核，导致基金托管人执行了应当无效的指令，基金管理人与基金托管人应根据各自过错程度承担责任；</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4</w:t>
      </w:r>
      <w:r>
        <w:rPr>
          <w:rFonts w:ascii="宋体" w:eastAsia="宋体" w:hint="eastAsia"/>
          <w:color w:val="auto"/>
          <w:sz w:val="21"/>
          <w:szCs w:val="21"/>
        </w:rPr>
        <w:t>、属于基金托管人实际有效控制下的基金财产（包括实物证券）在基金托管人保管期</w:t>
      </w:r>
      <w:r>
        <w:rPr>
          <w:rFonts w:ascii="宋体" w:eastAsia="宋体" w:hint="eastAsia"/>
          <w:color w:val="auto"/>
          <w:sz w:val="21"/>
          <w:szCs w:val="21"/>
        </w:rPr>
        <w:t>间的损坏、灭失，由此产生的责任应由该基金托管人承担；</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5</w:t>
      </w:r>
      <w:r>
        <w:rPr>
          <w:rFonts w:ascii="宋体" w:eastAsia="宋体" w:hint="eastAsia"/>
          <w:color w:val="auto"/>
          <w:sz w:val="21"/>
          <w:szCs w:val="21"/>
        </w:rPr>
        <w:t>、基金管理人应承担对其应收取的管理费数额计算错误的责任。如果基金托管人复核后同意基金管理人的计算结果，则基金托管人也应承担未正确履行复核义务的相应责任；</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6</w:t>
      </w:r>
      <w:r>
        <w:rPr>
          <w:rFonts w:ascii="宋体" w:eastAsia="宋体" w:hint="eastAsia"/>
          <w:color w:val="auto"/>
          <w:sz w:val="21"/>
          <w:szCs w:val="21"/>
        </w:rPr>
        <w:t>、基金管理人应承担对基金托管人应收取的托管费数额计算错误的责任。如果基金托管人复核后同意基金管理人的计算结果，则基金托管人也应承担未正确履行复核义务的相应责任；</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7</w:t>
      </w:r>
      <w:r>
        <w:rPr>
          <w:rFonts w:ascii="宋体" w:eastAsia="宋体" w:hint="eastAsia"/>
          <w:color w:val="auto"/>
          <w:sz w:val="21"/>
          <w:szCs w:val="21"/>
        </w:rPr>
        <w:t>、由于基金管理人或托管人原因导致本基金不能依据中国证券登记结算有限责任公司的业务规则及时清算的，由责任方承担由此给基金财产、基金份额持有</w:t>
      </w:r>
      <w:r>
        <w:rPr>
          <w:rFonts w:ascii="宋体" w:eastAsia="宋体" w:hint="eastAsia"/>
          <w:color w:val="auto"/>
          <w:sz w:val="21"/>
          <w:szCs w:val="21"/>
        </w:rPr>
        <w:t>人及受损害方造成的直接损失，若由于双方原因导致本基金不能依据中国证券登记结算有限责任公司的业务规则及时清算的，双方应按照各自的过错程度对造成的直接损失合理分担责任；</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8</w:t>
      </w:r>
      <w:r>
        <w:rPr>
          <w:rFonts w:ascii="宋体" w:eastAsia="宋体" w:hint="eastAsia"/>
          <w:color w:val="auto"/>
          <w:sz w:val="21"/>
          <w:szCs w:val="21"/>
        </w:rPr>
        <w:t>、</w:t>
      </w:r>
      <w:r>
        <w:rPr>
          <w:rFonts w:ascii="宋体" w:eastAsia="宋体"/>
          <w:color w:val="auto"/>
          <w:sz w:val="21"/>
          <w:szCs w:val="21"/>
        </w:rPr>
        <w:t>在资金交收日，基金资金账户资金首先用于除新股申购以外的其他资金交收义务，交收完成后资金余额方可用于新股申购。如果因此资金不足造成新股申购失败或者新股申购不足，基金托管人不承担任何责任。如基金份额持有人因此提出赔偿要求，相关法律责任和损失由基金管理人承担。</w:t>
      </w:r>
    </w:p>
    <w:p w:rsidR="00175D68" w:rsidRDefault="00175D68">
      <w:pPr>
        <w:pStyle w:val="a9"/>
        <w:spacing w:before="100" w:beforeAutospacing="1" w:after="100" w:afterAutospacing="1"/>
        <w:ind w:firstLine="403"/>
        <w:rPr>
          <w:rFonts w:ascii="宋体" w:eastAsia="宋体"/>
          <w:color w:val="auto"/>
          <w:sz w:val="21"/>
          <w:szCs w:val="21"/>
        </w:rPr>
      </w:pPr>
    </w:p>
    <w:p w:rsidR="00175D68" w:rsidRDefault="005D0F16">
      <w:pPr>
        <w:pStyle w:val="1"/>
        <w:spacing w:before="100" w:beforeAutospacing="1" w:after="100" w:afterAutospacing="1" w:line="400" w:lineRule="exact"/>
        <w:ind w:firstLine="422"/>
        <w:rPr>
          <w:rFonts w:ascii="宋体" w:hAnsi="宋体"/>
          <w:sz w:val="21"/>
          <w:szCs w:val="21"/>
        </w:rPr>
      </w:pPr>
      <w:bookmarkStart w:id="24" w:name="_Toc116900112"/>
      <w:r>
        <w:rPr>
          <w:rFonts w:ascii="宋体" w:hAnsi="宋体" w:hint="eastAsia"/>
          <w:sz w:val="21"/>
          <w:szCs w:val="21"/>
        </w:rPr>
        <w:t>十八、适用法律与争议解决</w:t>
      </w:r>
      <w:bookmarkEnd w:id="24"/>
      <w:r>
        <w:rPr>
          <w:rFonts w:ascii="宋体" w:hAnsi="宋体" w:hint="eastAsia"/>
          <w:sz w:val="21"/>
          <w:szCs w:val="21"/>
        </w:rPr>
        <w:t>方式</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（一）本协议适用中华人民共和国法律（为本协议之目的，不包括香港特别行政区、澳门特别行政区和台湾地区法律）并从其解释。</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lastRenderedPageBreak/>
        <w:t>（二）基金管理人与基金托管人之间因本协议产生的或与本协议有关的争议可通过友好协商解决。但若自一方书面提出协商解决争议之日起</w:t>
      </w:r>
      <w:r>
        <w:rPr>
          <w:rFonts w:ascii="宋体" w:eastAsia="宋体" w:hint="eastAsia"/>
          <w:color w:val="auto"/>
          <w:sz w:val="21"/>
          <w:szCs w:val="21"/>
        </w:rPr>
        <w:t>60</w:t>
      </w:r>
      <w:r>
        <w:rPr>
          <w:rFonts w:ascii="宋体" w:eastAsia="宋体" w:hint="eastAsia"/>
          <w:color w:val="auto"/>
          <w:sz w:val="21"/>
          <w:szCs w:val="21"/>
        </w:rPr>
        <w:t>日内争议未能以协商方式解决的，则任何一方有权将争议提交位于北京的中国国际经济贸易仲裁委员会，并按其时有效的仲裁规则进行仲裁。仲裁裁决是终局的，对仲裁各方当事人均具有约束力，仲裁费用由败诉方承担。</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（三）除争议所涉的内容之外，本协议的当事人仍应履行本协议的其他规定。</w:t>
      </w:r>
    </w:p>
    <w:p w:rsidR="00175D68" w:rsidRDefault="00175D68">
      <w:pPr>
        <w:pStyle w:val="a9"/>
        <w:spacing w:before="100" w:beforeAutospacing="1" w:after="100" w:afterAutospacing="1"/>
        <w:ind w:firstLine="403"/>
        <w:rPr>
          <w:rFonts w:ascii="宋体" w:eastAsia="宋体"/>
          <w:color w:val="auto"/>
          <w:sz w:val="21"/>
          <w:szCs w:val="21"/>
        </w:rPr>
      </w:pPr>
    </w:p>
    <w:p w:rsidR="00175D68" w:rsidRDefault="005D0F16">
      <w:pPr>
        <w:pStyle w:val="1"/>
        <w:spacing w:before="100" w:beforeAutospacing="1" w:after="100" w:afterAutospacing="1" w:line="400" w:lineRule="exact"/>
        <w:ind w:firstLine="422"/>
        <w:rPr>
          <w:rFonts w:ascii="宋体" w:hAnsi="宋体"/>
          <w:sz w:val="21"/>
          <w:szCs w:val="21"/>
        </w:rPr>
      </w:pPr>
      <w:bookmarkStart w:id="25" w:name="_Toc116900113"/>
      <w:r>
        <w:rPr>
          <w:rFonts w:ascii="宋体" w:hAnsi="宋体" w:hint="eastAsia"/>
          <w:sz w:val="21"/>
          <w:szCs w:val="21"/>
        </w:rPr>
        <w:t>十九、托管协议的效力</w:t>
      </w:r>
      <w:bookmarkEnd w:id="25"/>
    </w:p>
    <w:p w:rsidR="00175D68" w:rsidRDefault="005D0F16">
      <w:pPr>
        <w:adjustRightInd w:val="0"/>
        <w:snapToGrid w:val="0"/>
        <w:spacing w:before="100" w:beforeAutospacing="1" w:after="100" w:afterAutospacing="1" w:line="400" w:lineRule="exact"/>
        <w:ind w:firstLineChars="200" w:firstLine="420"/>
        <w:rPr>
          <w:rFonts w:ascii="宋体" w:hAnsi="宋体"/>
          <w:szCs w:val="21"/>
        </w:rPr>
      </w:pPr>
      <w:r>
        <w:rPr>
          <w:rFonts w:ascii="宋体" w:hAnsi="宋体" w:cs="方正仿宋简体" w:hint="eastAsia"/>
          <w:szCs w:val="21"/>
        </w:rPr>
        <w:t>（一）基金管理人在向中国证监会申请时提交的基金托管协议草案，应经托管协议双方当事人的法定代表人或授权签字人签字并加盖公章，协议当事人双方根据中国证监会的意见修改托管协议草案。托管协议以中国证监会注册的文本为正式文本。</w:t>
      </w:r>
    </w:p>
    <w:p w:rsidR="00175D68" w:rsidRDefault="005D0F16">
      <w:pPr>
        <w:adjustRightInd w:val="0"/>
        <w:snapToGrid w:val="0"/>
        <w:spacing w:before="100" w:beforeAutospacing="1" w:after="100" w:afterAutospacing="1" w:line="400" w:lineRule="exact"/>
        <w:ind w:firstLineChars="200" w:firstLine="420"/>
        <w:rPr>
          <w:rFonts w:ascii="宋体" w:hAnsi="宋体"/>
          <w:szCs w:val="21"/>
        </w:rPr>
      </w:pPr>
      <w:r>
        <w:rPr>
          <w:rFonts w:ascii="宋体" w:hAnsi="宋体" w:cs="方正仿宋简体" w:hint="eastAsia"/>
          <w:szCs w:val="21"/>
        </w:rPr>
        <w:t>（二）本协议自</w:t>
      </w:r>
      <w:r>
        <w:rPr>
          <w:rFonts w:ascii="宋体" w:hAnsi="宋体" w:hint="eastAsia"/>
          <w:szCs w:val="21"/>
        </w:rPr>
        <w:t>双方签署</w:t>
      </w:r>
      <w:r>
        <w:rPr>
          <w:rFonts w:ascii="宋体" w:hAnsi="宋体" w:cs="方正仿宋简体" w:hint="eastAsia"/>
          <w:szCs w:val="21"/>
        </w:rPr>
        <w:t>之日起成立，自基金合同生效之日起生效。本协议的有效期自其生效之日起至基金财产清算结果报中国证监会备案并公告之日止。</w:t>
      </w:r>
    </w:p>
    <w:p w:rsidR="00175D68" w:rsidRDefault="005D0F16">
      <w:pPr>
        <w:adjustRightInd w:val="0"/>
        <w:snapToGrid w:val="0"/>
        <w:spacing w:before="100" w:beforeAutospacing="1" w:after="100" w:afterAutospacing="1" w:line="400" w:lineRule="exact"/>
        <w:ind w:firstLineChars="200" w:firstLine="420"/>
        <w:rPr>
          <w:rFonts w:ascii="宋体" w:hAnsi="宋体"/>
          <w:szCs w:val="21"/>
        </w:rPr>
      </w:pPr>
      <w:r>
        <w:rPr>
          <w:rFonts w:ascii="宋体" w:hAnsi="宋体" w:cs="方正仿宋简体" w:hint="eastAsia"/>
          <w:szCs w:val="21"/>
        </w:rPr>
        <w:t>（三）本协议自生效之日起对双方当事人具有同等的法律约束力。</w:t>
      </w:r>
    </w:p>
    <w:p w:rsidR="00175D68" w:rsidRDefault="005D0F16">
      <w:pPr>
        <w:pStyle w:val="a9"/>
        <w:spacing w:before="100" w:beforeAutospacing="1" w:after="100" w:afterAutospacing="1"/>
        <w:ind w:firstLine="403"/>
        <w:rPr>
          <w:rFonts w:ascii="宋体" w:eastAsia="宋体"/>
          <w:color w:val="auto"/>
          <w:sz w:val="21"/>
          <w:szCs w:val="21"/>
        </w:rPr>
      </w:pPr>
      <w:r>
        <w:rPr>
          <w:rFonts w:ascii="宋体" w:eastAsia="宋体" w:cs="方正仿宋简体" w:hint="eastAsia"/>
          <w:sz w:val="21"/>
          <w:szCs w:val="21"/>
        </w:rPr>
        <w:t>（四）</w:t>
      </w:r>
      <w:r>
        <w:rPr>
          <w:rFonts w:ascii="宋体" w:eastAsia="宋体" w:hint="eastAsia"/>
          <w:color w:val="auto"/>
          <w:sz w:val="21"/>
          <w:szCs w:val="21"/>
        </w:rPr>
        <w:t>本协议正本一式陆份，协议双方各执贰份，上报中国证监会和中国银行保险监</w:t>
      </w:r>
      <w:r>
        <w:rPr>
          <w:rFonts w:ascii="宋体" w:eastAsia="宋体" w:hint="eastAsia"/>
          <w:color w:val="auto"/>
          <w:sz w:val="21"/>
          <w:szCs w:val="21"/>
        </w:rPr>
        <w:t>督管理委员会各壹份，每份具有同等法律效力。</w:t>
      </w:r>
    </w:p>
    <w:p w:rsidR="00175D68" w:rsidRDefault="00175D68">
      <w:pPr>
        <w:pStyle w:val="1"/>
        <w:spacing w:before="100" w:beforeAutospacing="1" w:after="100" w:afterAutospacing="1" w:line="400" w:lineRule="exact"/>
        <w:ind w:firstLine="422"/>
        <w:rPr>
          <w:rFonts w:ascii="宋体" w:hAnsi="宋体"/>
          <w:sz w:val="21"/>
          <w:szCs w:val="21"/>
        </w:rPr>
      </w:pPr>
      <w:bookmarkStart w:id="26" w:name="_Toc116900116"/>
    </w:p>
    <w:p w:rsidR="00175D68" w:rsidRDefault="005D0F16">
      <w:pPr>
        <w:pStyle w:val="1"/>
        <w:spacing w:before="100" w:beforeAutospacing="1" w:after="100" w:afterAutospacing="1" w:line="400" w:lineRule="exact"/>
        <w:ind w:firstLine="422"/>
        <w:rPr>
          <w:rFonts w:ascii="宋体" w:hAnsi="宋体"/>
          <w:sz w:val="21"/>
          <w:szCs w:val="21"/>
        </w:rPr>
      </w:pPr>
      <w:r>
        <w:rPr>
          <w:rFonts w:ascii="宋体" w:hAnsi="宋体"/>
          <w:sz w:val="21"/>
          <w:szCs w:val="21"/>
        </w:rPr>
        <w:t>二十、托管协议</w:t>
      </w:r>
      <w:bookmarkEnd w:id="26"/>
      <w:r>
        <w:rPr>
          <w:rFonts w:ascii="宋体" w:hAnsi="宋体" w:hint="eastAsia"/>
          <w:sz w:val="21"/>
          <w:szCs w:val="21"/>
        </w:rPr>
        <w:t>的签订</w:t>
      </w:r>
    </w:p>
    <w:p w:rsidR="00175D68" w:rsidRDefault="005D0F16">
      <w:pPr>
        <w:pStyle w:val="a9"/>
        <w:spacing w:before="100" w:beforeAutospacing="1" w:after="100" w:afterAutospacing="1"/>
        <w:ind w:firstLine="403"/>
        <w:rPr>
          <w:rFonts w:ascii="宋体" w:eastAsia="宋体"/>
          <w:sz w:val="21"/>
          <w:szCs w:val="21"/>
        </w:rPr>
      </w:pPr>
      <w:r>
        <w:rPr>
          <w:rFonts w:ascii="宋体" w:eastAsia="宋体" w:hint="eastAsia"/>
          <w:color w:val="auto"/>
          <w:sz w:val="21"/>
          <w:szCs w:val="21"/>
        </w:rPr>
        <w:t>见签署页。</w:t>
      </w:r>
    </w:p>
    <w:p w:rsidR="00175D68" w:rsidRDefault="005D0F16">
      <w:pPr>
        <w:pStyle w:val="a9"/>
        <w:spacing w:before="100" w:beforeAutospacing="1" w:after="100" w:afterAutospacing="1"/>
        <w:ind w:firstLine="403"/>
        <w:rPr>
          <w:rFonts w:ascii="宋体" w:eastAsia="宋体"/>
          <w:sz w:val="21"/>
          <w:szCs w:val="21"/>
        </w:rPr>
      </w:pPr>
      <w:r>
        <w:rPr>
          <w:rFonts w:ascii="宋体" w:eastAsia="宋体" w:hint="eastAsia"/>
          <w:sz w:val="21"/>
          <w:szCs w:val="21"/>
        </w:rPr>
        <w:t>（以下无正文）</w:t>
      </w:r>
    </w:p>
    <w:p w:rsidR="00175D68" w:rsidRDefault="005D0F16">
      <w:pPr>
        <w:pStyle w:val="a9"/>
        <w:spacing w:before="100" w:beforeAutospacing="1" w:after="100" w:afterAutospacing="1"/>
        <w:ind w:firstLine="403"/>
        <w:rPr>
          <w:rFonts w:ascii="宋体" w:eastAsia="宋体"/>
          <w:sz w:val="21"/>
          <w:szCs w:val="21"/>
        </w:rPr>
      </w:pPr>
      <w:r>
        <w:rPr>
          <w:rFonts w:ascii="宋体" w:eastAsia="宋体"/>
          <w:sz w:val="21"/>
          <w:szCs w:val="21"/>
        </w:rPr>
        <w:br w:type="page"/>
      </w:r>
      <w:r>
        <w:rPr>
          <w:rFonts w:ascii="宋体" w:eastAsia="宋体" w:hint="eastAsia"/>
          <w:sz w:val="21"/>
          <w:szCs w:val="21"/>
        </w:rPr>
        <w:lastRenderedPageBreak/>
        <w:t>（本页为《华商高端装备制造股票型证券投资基金托管协议》签署页，无正文）</w:t>
      </w:r>
    </w:p>
    <w:p w:rsidR="00175D68" w:rsidRDefault="005D0F16">
      <w:pPr>
        <w:pStyle w:val="Web"/>
        <w:spacing w:line="400" w:lineRule="exact"/>
        <w:rPr>
          <w:color w:val="000000"/>
          <w:kern w:val="2"/>
          <w:sz w:val="21"/>
          <w:szCs w:val="21"/>
        </w:rPr>
      </w:pPr>
      <w:r>
        <w:rPr>
          <w:color w:val="000000"/>
          <w:kern w:val="2"/>
          <w:sz w:val="21"/>
          <w:szCs w:val="21"/>
        </w:rPr>
        <w:t xml:space="preserve">　　</w:t>
      </w:r>
    </w:p>
    <w:p w:rsidR="00175D68" w:rsidRDefault="005D0F16">
      <w:pPr>
        <w:pStyle w:val="Web"/>
        <w:spacing w:line="400" w:lineRule="exact"/>
        <w:ind w:firstLine="403"/>
        <w:rPr>
          <w:b/>
        </w:rPr>
      </w:pPr>
      <w:r>
        <w:rPr>
          <w:b/>
        </w:rPr>
        <w:t>基金托管人</w:t>
      </w:r>
      <w:r>
        <w:rPr>
          <w:rFonts w:hint="eastAsia"/>
          <w:b/>
        </w:rPr>
        <w:t>:</w:t>
      </w:r>
      <w:r>
        <w:rPr>
          <w:rFonts w:hint="eastAsia"/>
          <w:b/>
        </w:rPr>
        <w:t>中国银行股份有限公司</w:t>
      </w:r>
    </w:p>
    <w:p w:rsidR="00175D68" w:rsidRDefault="00175D68">
      <w:pPr>
        <w:pStyle w:val="Web"/>
        <w:spacing w:line="400" w:lineRule="exact"/>
        <w:ind w:firstLine="403"/>
        <w:rPr>
          <w:b/>
        </w:rPr>
      </w:pPr>
    </w:p>
    <w:p w:rsidR="00175D68" w:rsidRDefault="005D0F16">
      <w:pPr>
        <w:pStyle w:val="Web"/>
        <w:spacing w:line="400" w:lineRule="exact"/>
        <w:ind w:firstLine="403"/>
        <w:rPr>
          <w:b/>
        </w:rPr>
      </w:pPr>
      <w:r>
        <w:rPr>
          <w:b/>
        </w:rPr>
        <w:t>法定代表人</w:t>
      </w:r>
      <w:r>
        <w:rPr>
          <w:rFonts w:hint="eastAsia"/>
          <w:b/>
        </w:rPr>
        <w:t>或授权签字人：</w:t>
      </w:r>
    </w:p>
    <w:p w:rsidR="00175D68" w:rsidRDefault="00175D68">
      <w:pPr>
        <w:pStyle w:val="Web"/>
        <w:spacing w:line="400" w:lineRule="exact"/>
        <w:ind w:firstLine="420"/>
        <w:rPr>
          <w:b/>
        </w:rPr>
      </w:pPr>
    </w:p>
    <w:p w:rsidR="00175D68" w:rsidRDefault="00175D68">
      <w:pPr>
        <w:pStyle w:val="Web"/>
        <w:spacing w:line="400" w:lineRule="exact"/>
        <w:ind w:firstLine="420"/>
        <w:rPr>
          <w:b/>
        </w:rPr>
      </w:pPr>
    </w:p>
    <w:p w:rsidR="00175D68" w:rsidRDefault="005D0F16">
      <w:pPr>
        <w:pStyle w:val="Web"/>
        <w:spacing w:line="400" w:lineRule="exact"/>
        <w:ind w:firstLine="403"/>
        <w:rPr>
          <w:b/>
        </w:rPr>
      </w:pPr>
      <w:r>
        <w:rPr>
          <w:b/>
        </w:rPr>
        <w:t>签订日：</w:t>
      </w:r>
      <w:r>
        <w:rPr>
          <w:rFonts w:hint="eastAsia"/>
          <w:b/>
        </w:rPr>
        <w:tab/>
      </w:r>
    </w:p>
    <w:p w:rsidR="00175D68" w:rsidRDefault="005D0F16">
      <w:pPr>
        <w:pStyle w:val="Web"/>
        <w:spacing w:line="400" w:lineRule="exact"/>
        <w:ind w:firstLine="420"/>
        <w:rPr>
          <w:b/>
        </w:rPr>
      </w:pPr>
      <w:r>
        <w:rPr>
          <w:b/>
        </w:rPr>
        <w:t xml:space="preserve">签订地：　</w:t>
      </w:r>
    </w:p>
    <w:p w:rsidR="00175D68" w:rsidRDefault="00175D68">
      <w:pPr>
        <w:pStyle w:val="Web"/>
        <w:spacing w:line="400" w:lineRule="exact"/>
        <w:ind w:firstLine="540"/>
        <w:rPr>
          <w:b/>
        </w:rPr>
      </w:pPr>
    </w:p>
    <w:p w:rsidR="00175D68" w:rsidRDefault="00175D68">
      <w:pPr>
        <w:pStyle w:val="Web"/>
        <w:spacing w:line="400" w:lineRule="exact"/>
        <w:ind w:firstLine="540"/>
        <w:rPr>
          <w:b/>
        </w:rPr>
      </w:pPr>
    </w:p>
    <w:p w:rsidR="00175D68" w:rsidRDefault="00175D68">
      <w:pPr>
        <w:pStyle w:val="Web"/>
        <w:spacing w:line="400" w:lineRule="exact"/>
        <w:ind w:firstLine="403"/>
        <w:rPr>
          <w:b/>
        </w:rPr>
      </w:pPr>
    </w:p>
    <w:p w:rsidR="00175D68" w:rsidRDefault="005D0F16">
      <w:pPr>
        <w:spacing w:before="100" w:beforeAutospacing="1" w:after="100" w:afterAutospacing="1" w:line="400" w:lineRule="exact"/>
        <w:ind w:firstLine="403"/>
        <w:rPr>
          <w:rFonts w:ascii="宋体" w:hAnsi="宋体"/>
          <w:b/>
          <w:sz w:val="24"/>
        </w:rPr>
      </w:pPr>
      <w:r>
        <w:rPr>
          <w:rFonts w:ascii="宋体" w:hAnsi="宋体"/>
          <w:b/>
          <w:sz w:val="24"/>
        </w:rPr>
        <w:t>基金管理人：</w:t>
      </w:r>
      <w:r>
        <w:rPr>
          <w:rFonts w:ascii="宋体" w:hAnsi="宋体" w:hint="eastAsia"/>
          <w:b/>
          <w:sz w:val="24"/>
        </w:rPr>
        <w:t>华商基金管理有限公司</w:t>
      </w:r>
    </w:p>
    <w:p w:rsidR="00175D68" w:rsidRDefault="00175D68">
      <w:pPr>
        <w:pStyle w:val="Web"/>
        <w:spacing w:line="400" w:lineRule="exact"/>
        <w:rPr>
          <w:b/>
        </w:rPr>
      </w:pPr>
    </w:p>
    <w:p w:rsidR="00175D68" w:rsidRDefault="005D0F16">
      <w:pPr>
        <w:pStyle w:val="Web"/>
        <w:spacing w:line="400" w:lineRule="exact"/>
        <w:ind w:firstLine="403"/>
        <w:rPr>
          <w:b/>
        </w:rPr>
      </w:pPr>
      <w:r>
        <w:rPr>
          <w:b/>
        </w:rPr>
        <w:t>法定代表人</w:t>
      </w:r>
      <w:r>
        <w:rPr>
          <w:rFonts w:hint="eastAsia"/>
          <w:b/>
        </w:rPr>
        <w:t>或授权签字人：</w:t>
      </w:r>
      <w:r>
        <w:rPr>
          <w:rFonts w:hint="eastAsia"/>
          <w:b/>
        </w:rPr>
        <w:t xml:space="preserve"> </w:t>
      </w:r>
    </w:p>
    <w:p w:rsidR="00175D68" w:rsidRDefault="00175D68">
      <w:pPr>
        <w:pStyle w:val="Web"/>
        <w:spacing w:line="400" w:lineRule="exact"/>
        <w:ind w:firstLine="420"/>
        <w:rPr>
          <w:b/>
        </w:rPr>
      </w:pPr>
    </w:p>
    <w:p w:rsidR="00175D68" w:rsidRDefault="00175D68">
      <w:pPr>
        <w:pStyle w:val="Web"/>
        <w:spacing w:line="400" w:lineRule="exact"/>
        <w:ind w:firstLine="420"/>
        <w:rPr>
          <w:b/>
        </w:rPr>
      </w:pPr>
    </w:p>
    <w:p w:rsidR="00175D68" w:rsidRDefault="005D0F16">
      <w:pPr>
        <w:pStyle w:val="Web"/>
        <w:spacing w:line="400" w:lineRule="exact"/>
        <w:ind w:firstLine="420"/>
        <w:rPr>
          <w:b/>
        </w:rPr>
      </w:pPr>
      <w:r>
        <w:rPr>
          <w:b/>
        </w:rPr>
        <w:t>签订日：</w:t>
      </w:r>
    </w:p>
    <w:p w:rsidR="00175D68" w:rsidRDefault="005D0F16">
      <w:pPr>
        <w:pStyle w:val="Web"/>
        <w:spacing w:line="400" w:lineRule="exact"/>
        <w:ind w:firstLine="403"/>
        <w:rPr>
          <w:b/>
        </w:rPr>
      </w:pPr>
      <w:r>
        <w:rPr>
          <w:b/>
        </w:rPr>
        <w:t xml:space="preserve">签订地：　</w:t>
      </w:r>
      <w:r>
        <w:rPr>
          <w:rFonts w:hint="eastAsia"/>
          <w:b/>
        </w:rPr>
        <w:tab/>
      </w:r>
    </w:p>
    <w:p w:rsidR="00175D68" w:rsidRDefault="00175D68">
      <w:pPr>
        <w:pStyle w:val="a9"/>
        <w:spacing w:before="100" w:beforeAutospacing="1" w:after="100" w:afterAutospacing="1"/>
        <w:ind w:firstLine="463"/>
        <w:rPr>
          <w:rFonts w:ascii="宋体" w:eastAsia="宋体"/>
          <w:b/>
          <w:color w:val="auto"/>
          <w:sz w:val="24"/>
        </w:rPr>
      </w:pPr>
    </w:p>
    <w:sectPr w:rsidR="00175D68">
      <w:footerReference w:type="even" r:id="rId8"/>
      <w:footerReference w:type="default" r:id="rId9"/>
      <w:type w:val="continuous"/>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F16" w:rsidRDefault="005D0F16">
      <w:r>
        <w:separator/>
      </w:r>
    </w:p>
  </w:endnote>
  <w:endnote w:type="continuationSeparator" w:id="0">
    <w:p w:rsidR="005D0F16" w:rsidRDefault="005D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长城仿宋">
    <w:altName w:val="Arial Unicode MS"/>
    <w:charset w:val="86"/>
    <w:family w:val="modern"/>
    <w:pitch w:val="default"/>
    <w:sig w:usb0="00000000" w:usb1="00000000" w:usb2="00000010" w:usb3="00000000" w:csb0="00040000" w:csb1="00000000"/>
  </w:font>
  <w:font w:name="方正仿宋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68" w:rsidRDefault="005D0F16">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75D68" w:rsidRDefault="00175D6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68" w:rsidRDefault="005D0F16">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A107E7">
      <w:rPr>
        <w:rStyle w:val="ae"/>
        <w:noProof/>
      </w:rPr>
      <w:t>15</w:t>
    </w:r>
    <w:r>
      <w:rPr>
        <w:rStyle w:val="ae"/>
      </w:rPr>
      <w:fldChar w:fldCharType="end"/>
    </w:r>
  </w:p>
  <w:p w:rsidR="00175D68" w:rsidRDefault="00175D6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F16" w:rsidRDefault="005D0F16">
      <w:r>
        <w:separator/>
      </w:r>
    </w:p>
  </w:footnote>
  <w:footnote w:type="continuationSeparator" w:id="0">
    <w:p w:rsidR="005D0F16" w:rsidRDefault="005D0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2"/>
  <w:drawingGridVerticalSpacing w:val="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BE"/>
    <w:rsid w:val="00004D8F"/>
    <w:rsid w:val="000154B1"/>
    <w:rsid w:val="000173BD"/>
    <w:rsid w:val="000223B0"/>
    <w:rsid w:val="00024F9F"/>
    <w:rsid w:val="00027A8B"/>
    <w:rsid w:val="00031BE4"/>
    <w:rsid w:val="00031C54"/>
    <w:rsid w:val="0003738B"/>
    <w:rsid w:val="000373C8"/>
    <w:rsid w:val="00040A2B"/>
    <w:rsid w:val="00045293"/>
    <w:rsid w:val="00053D35"/>
    <w:rsid w:val="00056250"/>
    <w:rsid w:val="0006445C"/>
    <w:rsid w:val="000650FF"/>
    <w:rsid w:val="00070854"/>
    <w:rsid w:val="00072204"/>
    <w:rsid w:val="000730D5"/>
    <w:rsid w:val="000774E5"/>
    <w:rsid w:val="00081420"/>
    <w:rsid w:val="00081477"/>
    <w:rsid w:val="0008188D"/>
    <w:rsid w:val="00085508"/>
    <w:rsid w:val="00097DC5"/>
    <w:rsid w:val="000A13CA"/>
    <w:rsid w:val="000A7CAF"/>
    <w:rsid w:val="000B0297"/>
    <w:rsid w:val="000B5793"/>
    <w:rsid w:val="000B6AA2"/>
    <w:rsid w:val="000C7AD1"/>
    <w:rsid w:val="000D10A2"/>
    <w:rsid w:val="000D15B1"/>
    <w:rsid w:val="000E2B52"/>
    <w:rsid w:val="000F0C71"/>
    <w:rsid w:val="000F5377"/>
    <w:rsid w:val="00104752"/>
    <w:rsid w:val="001104D9"/>
    <w:rsid w:val="00117C8D"/>
    <w:rsid w:val="00117FC5"/>
    <w:rsid w:val="00121EF0"/>
    <w:rsid w:val="00130D5E"/>
    <w:rsid w:val="00134323"/>
    <w:rsid w:val="00134E02"/>
    <w:rsid w:val="00136AF2"/>
    <w:rsid w:val="00136D62"/>
    <w:rsid w:val="001400FE"/>
    <w:rsid w:val="00140367"/>
    <w:rsid w:val="00143859"/>
    <w:rsid w:val="00146DD0"/>
    <w:rsid w:val="00147E56"/>
    <w:rsid w:val="00150188"/>
    <w:rsid w:val="00150901"/>
    <w:rsid w:val="00151241"/>
    <w:rsid w:val="00151BB2"/>
    <w:rsid w:val="001526D1"/>
    <w:rsid w:val="001542EE"/>
    <w:rsid w:val="00154B1C"/>
    <w:rsid w:val="001560C0"/>
    <w:rsid w:val="00156130"/>
    <w:rsid w:val="00165C15"/>
    <w:rsid w:val="0016648D"/>
    <w:rsid w:val="00170620"/>
    <w:rsid w:val="00173DEE"/>
    <w:rsid w:val="001741D0"/>
    <w:rsid w:val="00175D68"/>
    <w:rsid w:val="0018078D"/>
    <w:rsid w:val="001919B0"/>
    <w:rsid w:val="001A2E28"/>
    <w:rsid w:val="001A667A"/>
    <w:rsid w:val="001C0C1E"/>
    <w:rsid w:val="001C27A7"/>
    <w:rsid w:val="001C27DE"/>
    <w:rsid w:val="001C55DC"/>
    <w:rsid w:val="001C6E51"/>
    <w:rsid w:val="001D0D38"/>
    <w:rsid w:val="001D2CDE"/>
    <w:rsid w:val="001D6057"/>
    <w:rsid w:val="001E0A08"/>
    <w:rsid w:val="001E133D"/>
    <w:rsid w:val="001E592E"/>
    <w:rsid w:val="001F4C7C"/>
    <w:rsid w:val="001F60D9"/>
    <w:rsid w:val="001F6BA5"/>
    <w:rsid w:val="001F7F00"/>
    <w:rsid w:val="00202069"/>
    <w:rsid w:val="002024CB"/>
    <w:rsid w:val="0020778B"/>
    <w:rsid w:val="00210D7D"/>
    <w:rsid w:val="002169F9"/>
    <w:rsid w:val="002212AE"/>
    <w:rsid w:val="0022137C"/>
    <w:rsid w:val="00222F93"/>
    <w:rsid w:val="00223047"/>
    <w:rsid w:val="002242F0"/>
    <w:rsid w:val="00227C20"/>
    <w:rsid w:val="00230BA1"/>
    <w:rsid w:val="002313EF"/>
    <w:rsid w:val="00232EE0"/>
    <w:rsid w:val="00237371"/>
    <w:rsid w:val="00237FC5"/>
    <w:rsid w:val="00243C92"/>
    <w:rsid w:val="002468D5"/>
    <w:rsid w:val="0025577A"/>
    <w:rsid w:val="00262182"/>
    <w:rsid w:val="00266E5A"/>
    <w:rsid w:val="00273992"/>
    <w:rsid w:val="0027634A"/>
    <w:rsid w:val="00277AC0"/>
    <w:rsid w:val="0028046F"/>
    <w:rsid w:val="00281354"/>
    <w:rsid w:val="002819F4"/>
    <w:rsid w:val="002845F1"/>
    <w:rsid w:val="00286871"/>
    <w:rsid w:val="002877DB"/>
    <w:rsid w:val="00287AE1"/>
    <w:rsid w:val="00290256"/>
    <w:rsid w:val="002947CB"/>
    <w:rsid w:val="00296AAD"/>
    <w:rsid w:val="002A07E2"/>
    <w:rsid w:val="002A1FFD"/>
    <w:rsid w:val="002A392E"/>
    <w:rsid w:val="002A7B61"/>
    <w:rsid w:val="002B1780"/>
    <w:rsid w:val="002B2C99"/>
    <w:rsid w:val="002B655F"/>
    <w:rsid w:val="002C204F"/>
    <w:rsid w:val="002C328E"/>
    <w:rsid w:val="002C3B05"/>
    <w:rsid w:val="002C5760"/>
    <w:rsid w:val="002C7975"/>
    <w:rsid w:val="002C7A50"/>
    <w:rsid w:val="002D5685"/>
    <w:rsid w:val="002E08AB"/>
    <w:rsid w:val="002E18D2"/>
    <w:rsid w:val="002E3393"/>
    <w:rsid w:val="002E41B5"/>
    <w:rsid w:val="002E53CC"/>
    <w:rsid w:val="002F0B44"/>
    <w:rsid w:val="002F40E3"/>
    <w:rsid w:val="00306DA8"/>
    <w:rsid w:val="00310E46"/>
    <w:rsid w:val="00311E48"/>
    <w:rsid w:val="00312010"/>
    <w:rsid w:val="00312DC1"/>
    <w:rsid w:val="00316331"/>
    <w:rsid w:val="00321A40"/>
    <w:rsid w:val="00321B00"/>
    <w:rsid w:val="0032409B"/>
    <w:rsid w:val="003247B7"/>
    <w:rsid w:val="003263AE"/>
    <w:rsid w:val="00327E44"/>
    <w:rsid w:val="0033063E"/>
    <w:rsid w:val="00330997"/>
    <w:rsid w:val="0033282F"/>
    <w:rsid w:val="0033302B"/>
    <w:rsid w:val="0033514F"/>
    <w:rsid w:val="00336293"/>
    <w:rsid w:val="0033739D"/>
    <w:rsid w:val="00337800"/>
    <w:rsid w:val="0034410E"/>
    <w:rsid w:val="003478EE"/>
    <w:rsid w:val="00347AD9"/>
    <w:rsid w:val="00350619"/>
    <w:rsid w:val="00351E29"/>
    <w:rsid w:val="0035240A"/>
    <w:rsid w:val="003564F7"/>
    <w:rsid w:val="0035711B"/>
    <w:rsid w:val="003572B7"/>
    <w:rsid w:val="00360A72"/>
    <w:rsid w:val="00362C2B"/>
    <w:rsid w:val="0036741E"/>
    <w:rsid w:val="003710C4"/>
    <w:rsid w:val="00372309"/>
    <w:rsid w:val="00372EA1"/>
    <w:rsid w:val="00373DEF"/>
    <w:rsid w:val="0037482B"/>
    <w:rsid w:val="003801E2"/>
    <w:rsid w:val="00381A18"/>
    <w:rsid w:val="00382C99"/>
    <w:rsid w:val="00387AB9"/>
    <w:rsid w:val="00391678"/>
    <w:rsid w:val="003A2461"/>
    <w:rsid w:val="003A2ED7"/>
    <w:rsid w:val="003B3D67"/>
    <w:rsid w:val="003B6497"/>
    <w:rsid w:val="003C2482"/>
    <w:rsid w:val="003D033F"/>
    <w:rsid w:val="003D329A"/>
    <w:rsid w:val="003D3428"/>
    <w:rsid w:val="003D6254"/>
    <w:rsid w:val="003D6A79"/>
    <w:rsid w:val="003E0B40"/>
    <w:rsid w:val="003E0EF9"/>
    <w:rsid w:val="003E1BDD"/>
    <w:rsid w:val="003E3208"/>
    <w:rsid w:val="003E5136"/>
    <w:rsid w:val="003E7A82"/>
    <w:rsid w:val="003F2E61"/>
    <w:rsid w:val="003F506E"/>
    <w:rsid w:val="003F76BE"/>
    <w:rsid w:val="0040191F"/>
    <w:rsid w:val="00407C37"/>
    <w:rsid w:val="00411D1B"/>
    <w:rsid w:val="0041327F"/>
    <w:rsid w:val="0041455F"/>
    <w:rsid w:val="00415CF9"/>
    <w:rsid w:val="00420578"/>
    <w:rsid w:val="00422F0D"/>
    <w:rsid w:val="004265D0"/>
    <w:rsid w:val="00437BCC"/>
    <w:rsid w:val="0044418A"/>
    <w:rsid w:val="004441B8"/>
    <w:rsid w:val="00447CA1"/>
    <w:rsid w:val="00447E25"/>
    <w:rsid w:val="00451623"/>
    <w:rsid w:val="00451CC7"/>
    <w:rsid w:val="004574F6"/>
    <w:rsid w:val="004577D6"/>
    <w:rsid w:val="00461180"/>
    <w:rsid w:val="00471518"/>
    <w:rsid w:val="00472029"/>
    <w:rsid w:val="004776F5"/>
    <w:rsid w:val="004777E0"/>
    <w:rsid w:val="00480715"/>
    <w:rsid w:val="00484D0E"/>
    <w:rsid w:val="00494C86"/>
    <w:rsid w:val="004B05D4"/>
    <w:rsid w:val="004B082B"/>
    <w:rsid w:val="004B1997"/>
    <w:rsid w:val="004B28E0"/>
    <w:rsid w:val="004B4C66"/>
    <w:rsid w:val="004B5D49"/>
    <w:rsid w:val="004C26DB"/>
    <w:rsid w:val="004C5725"/>
    <w:rsid w:val="004C6CCF"/>
    <w:rsid w:val="004E1CEE"/>
    <w:rsid w:val="004E293F"/>
    <w:rsid w:val="004E45A3"/>
    <w:rsid w:val="004E5518"/>
    <w:rsid w:val="004F1396"/>
    <w:rsid w:val="004F13E7"/>
    <w:rsid w:val="004F2080"/>
    <w:rsid w:val="004F4214"/>
    <w:rsid w:val="004F4338"/>
    <w:rsid w:val="00500461"/>
    <w:rsid w:val="00500A25"/>
    <w:rsid w:val="005059DE"/>
    <w:rsid w:val="005131E8"/>
    <w:rsid w:val="00513E25"/>
    <w:rsid w:val="00517A8A"/>
    <w:rsid w:val="00526501"/>
    <w:rsid w:val="005318BA"/>
    <w:rsid w:val="00531AD1"/>
    <w:rsid w:val="00533ED9"/>
    <w:rsid w:val="005428AF"/>
    <w:rsid w:val="00543868"/>
    <w:rsid w:val="00545BEC"/>
    <w:rsid w:val="00545CA2"/>
    <w:rsid w:val="00546A60"/>
    <w:rsid w:val="00550D41"/>
    <w:rsid w:val="00557771"/>
    <w:rsid w:val="00561D33"/>
    <w:rsid w:val="00562FD2"/>
    <w:rsid w:val="00565045"/>
    <w:rsid w:val="00566037"/>
    <w:rsid w:val="00567836"/>
    <w:rsid w:val="00573C2F"/>
    <w:rsid w:val="00575EB8"/>
    <w:rsid w:val="005801D8"/>
    <w:rsid w:val="0058032A"/>
    <w:rsid w:val="00583E7F"/>
    <w:rsid w:val="00587E55"/>
    <w:rsid w:val="00590F17"/>
    <w:rsid w:val="00592B54"/>
    <w:rsid w:val="0059429C"/>
    <w:rsid w:val="005A11C5"/>
    <w:rsid w:val="005A1608"/>
    <w:rsid w:val="005A2A8D"/>
    <w:rsid w:val="005B1431"/>
    <w:rsid w:val="005B5FB7"/>
    <w:rsid w:val="005C0A67"/>
    <w:rsid w:val="005C0C33"/>
    <w:rsid w:val="005C5CFB"/>
    <w:rsid w:val="005D0F16"/>
    <w:rsid w:val="005D266C"/>
    <w:rsid w:val="005D3A53"/>
    <w:rsid w:val="005D4815"/>
    <w:rsid w:val="005D5A84"/>
    <w:rsid w:val="005D70F7"/>
    <w:rsid w:val="005E0815"/>
    <w:rsid w:val="005E1F75"/>
    <w:rsid w:val="005E4094"/>
    <w:rsid w:val="005E6183"/>
    <w:rsid w:val="005E67A0"/>
    <w:rsid w:val="005F1CC3"/>
    <w:rsid w:val="005F272C"/>
    <w:rsid w:val="005F3E36"/>
    <w:rsid w:val="005F5915"/>
    <w:rsid w:val="00601F3C"/>
    <w:rsid w:val="006023E5"/>
    <w:rsid w:val="00602C6B"/>
    <w:rsid w:val="00604155"/>
    <w:rsid w:val="00604168"/>
    <w:rsid w:val="00605E5B"/>
    <w:rsid w:val="0060600F"/>
    <w:rsid w:val="00606510"/>
    <w:rsid w:val="00606DDF"/>
    <w:rsid w:val="006121E6"/>
    <w:rsid w:val="0061251F"/>
    <w:rsid w:val="00612D20"/>
    <w:rsid w:val="00613050"/>
    <w:rsid w:val="00616F86"/>
    <w:rsid w:val="0061782D"/>
    <w:rsid w:val="00620624"/>
    <w:rsid w:val="00621B60"/>
    <w:rsid w:val="00623B30"/>
    <w:rsid w:val="0062453D"/>
    <w:rsid w:val="0062708F"/>
    <w:rsid w:val="006300E1"/>
    <w:rsid w:val="00630B5D"/>
    <w:rsid w:val="00634687"/>
    <w:rsid w:val="00634BFB"/>
    <w:rsid w:val="00637EE8"/>
    <w:rsid w:val="00640B39"/>
    <w:rsid w:val="006458E6"/>
    <w:rsid w:val="00647510"/>
    <w:rsid w:val="006513A6"/>
    <w:rsid w:val="0065529F"/>
    <w:rsid w:val="00655FDB"/>
    <w:rsid w:val="0066110D"/>
    <w:rsid w:val="006611E5"/>
    <w:rsid w:val="00663A8C"/>
    <w:rsid w:val="00663B08"/>
    <w:rsid w:val="00671805"/>
    <w:rsid w:val="00683044"/>
    <w:rsid w:val="00683DAD"/>
    <w:rsid w:val="00686DCE"/>
    <w:rsid w:val="006956F8"/>
    <w:rsid w:val="00697AE9"/>
    <w:rsid w:val="006A094B"/>
    <w:rsid w:val="006A1FBE"/>
    <w:rsid w:val="006B0778"/>
    <w:rsid w:val="006C0E2D"/>
    <w:rsid w:val="006C1F4C"/>
    <w:rsid w:val="006C2FE1"/>
    <w:rsid w:val="006C7C4B"/>
    <w:rsid w:val="006D5042"/>
    <w:rsid w:val="006D686B"/>
    <w:rsid w:val="006D72AE"/>
    <w:rsid w:val="006E0EB2"/>
    <w:rsid w:val="006E5412"/>
    <w:rsid w:val="006E5E72"/>
    <w:rsid w:val="006F6181"/>
    <w:rsid w:val="006F76D3"/>
    <w:rsid w:val="007001F9"/>
    <w:rsid w:val="00702E40"/>
    <w:rsid w:val="0070465C"/>
    <w:rsid w:val="00705EE4"/>
    <w:rsid w:val="00706418"/>
    <w:rsid w:val="0070778E"/>
    <w:rsid w:val="00713AA8"/>
    <w:rsid w:val="007140BB"/>
    <w:rsid w:val="00716C68"/>
    <w:rsid w:val="007219B0"/>
    <w:rsid w:val="00723E33"/>
    <w:rsid w:val="007310B9"/>
    <w:rsid w:val="00741835"/>
    <w:rsid w:val="00742619"/>
    <w:rsid w:val="00744FCC"/>
    <w:rsid w:val="00747146"/>
    <w:rsid w:val="007501C9"/>
    <w:rsid w:val="007544C1"/>
    <w:rsid w:val="00760028"/>
    <w:rsid w:val="007605B8"/>
    <w:rsid w:val="0076068D"/>
    <w:rsid w:val="00765E78"/>
    <w:rsid w:val="0077005B"/>
    <w:rsid w:val="00770AB2"/>
    <w:rsid w:val="00770D75"/>
    <w:rsid w:val="00773511"/>
    <w:rsid w:val="00776945"/>
    <w:rsid w:val="007815EA"/>
    <w:rsid w:val="007819F1"/>
    <w:rsid w:val="00786ED8"/>
    <w:rsid w:val="00787095"/>
    <w:rsid w:val="007908A5"/>
    <w:rsid w:val="00791330"/>
    <w:rsid w:val="0079389F"/>
    <w:rsid w:val="00794948"/>
    <w:rsid w:val="00795AE7"/>
    <w:rsid w:val="00797671"/>
    <w:rsid w:val="007A56EB"/>
    <w:rsid w:val="007A632C"/>
    <w:rsid w:val="007B29E8"/>
    <w:rsid w:val="007B33F3"/>
    <w:rsid w:val="007B46D3"/>
    <w:rsid w:val="007C1E3C"/>
    <w:rsid w:val="007D50D9"/>
    <w:rsid w:val="007D5292"/>
    <w:rsid w:val="007D7751"/>
    <w:rsid w:val="007E305E"/>
    <w:rsid w:val="007E66B2"/>
    <w:rsid w:val="00803057"/>
    <w:rsid w:val="0080341C"/>
    <w:rsid w:val="0080626E"/>
    <w:rsid w:val="00810E68"/>
    <w:rsid w:val="0081307D"/>
    <w:rsid w:val="00820C15"/>
    <w:rsid w:val="008401B4"/>
    <w:rsid w:val="00841BD0"/>
    <w:rsid w:val="00846403"/>
    <w:rsid w:val="008522CE"/>
    <w:rsid w:val="008559D5"/>
    <w:rsid w:val="00861143"/>
    <w:rsid w:val="008631F5"/>
    <w:rsid w:val="00863252"/>
    <w:rsid w:val="008669CD"/>
    <w:rsid w:val="00873199"/>
    <w:rsid w:val="0087507D"/>
    <w:rsid w:val="00877171"/>
    <w:rsid w:val="00880E99"/>
    <w:rsid w:val="0088223F"/>
    <w:rsid w:val="00886986"/>
    <w:rsid w:val="00887BB0"/>
    <w:rsid w:val="00890B8D"/>
    <w:rsid w:val="008916D1"/>
    <w:rsid w:val="008944C7"/>
    <w:rsid w:val="0089669B"/>
    <w:rsid w:val="00896FA6"/>
    <w:rsid w:val="008A1DB5"/>
    <w:rsid w:val="008A5569"/>
    <w:rsid w:val="008A5F3F"/>
    <w:rsid w:val="008B2CE7"/>
    <w:rsid w:val="008B38F5"/>
    <w:rsid w:val="008C10E7"/>
    <w:rsid w:val="008C1110"/>
    <w:rsid w:val="008D0744"/>
    <w:rsid w:val="008D0D07"/>
    <w:rsid w:val="008D29B5"/>
    <w:rsid w:val="008D46CB"/>
    <w:rsid w:val="008D5BFD"/>
    <w:rsid w:val="008D6F89"/>
    <w:rsid w:val="008D75B9"/>
    <w:rsid w:val="008E3210"/>
    <w:rsid w:val="008E3D73"/>
    <w:rsid w:val="008E68CA"/>
    <w:rsid w:val="008E7AA7"/>
    <w:rsid w:val="008F00EC"/>
    <w:rsid w:val="008F00FC"/>
    <w:rsid w:val="008F283C"/>
    <w:rsid w:val="008F33C7"/>
    <w:rsid w:val="008F350B"/>
    <w:rsid w:val="008F4F84"/>
    <w:rsid w:val="008F5E0C"/>
    <w:rsid w:val="008F75D1"/>
    <w:rsid w:val="0090065F"/>
    <w:rsid w:val="00900FD1"/>
    <w:rsid w:val="00913DEC"/>
    <w:rsid w:val="00914ABC"/>
    <w:rsid w:val="00916782"/>
    <w:rsid w:val="00924178"/>
    <w:rsid w:val="0092749F"/>
    <w:rsid w:val="00933830"/>
    <w:rsid w:val="00933FE7"/>
    <w:rsid w:val="00935556"/>
    <w:rsid w:val="009357DA"/>
    <w:rsid w:val="00943AC1"/>
    <w:rsid w:val="00945640"/>
    <w:rsid w:val="00950242"/>
    <w:rsid w:val="00951358"/>
    <w:rsid w:val="00957DEB"/>
    <w:rsid w:val="00973CFA"/>
    <w:rsid w:val="00983BEA"/>
    <w:rsid w:val="00987AF5"/>
    <w:rsid w:val="00990602"/>
    <w:rsid w:val="0099756D"/>
    <w:rsid w:val="009A2718"/>
    <w:rsid w:val="009A5603"/>
    <w:rsid w:val="009A5DAD"/>
    <w:rsid w:val="009A6F8B"/>
    <w:rsid w:val="009A7820"/>
    <w:rsid w:val="009B2051"/>
    <w:rsid w:val="009B2749"/>
    <w:rsid w:val="009B2B56"/>
    <w:rsid w:val="009B3A14"/>
    <w:rsid w:val="009B6343"/>
    <w:rsid w:val="009B65DC"/>
    <w:rsid w:val="009B7A1C"/>
    <w:rsid w:val="009C249F"/>
    <w:rsid w:val="009C395D"/>
    <w:rsid w:val="009C543F"/>
    <w:rsid w:val="009C6225"/>
    <w:rsid w:val="009C69EB"/>
    <w:rsid w:val="009D11ED"/>
    <w:rsid w:val="009D7BE1"/>
    <w:rsid w:val="009E059E"/>
    <w:rsid w:val="009E2B06"/>
    <w:rsid w:val="009F101B"/>
    <w:rsid w:val="009F1905"/>
    <w:rsid w:val="009F6EE6"/>
    <w:rsid w:val="009F75CE"/>
    <w:rsid w:val="00A009CA"/>
    <w:rsid w:val="00A01661"/>
    <w:rsid w:val="00A02926"/>
    <w:rsid w:val="00A06573"/>
    <w:rsid w:val="00A07079"/>
    <w:rsid w:val="00A107E7"/>
    <w:rsid w:val="00A108A9"/>
    <w:rsid w:val="00A114B9"/>
    <w:rsid w:val="00A11D0E"/>
    <w:rsid w:val="00A2283C"/>
    <w:rsid w:val="00A23810"/>
    <w:rsid w:val="00A25363"/>
    <w:rsid w:val="00A27B4D"/>
    <w:rsid w:val="00A32619"/>
    <w:rsid w:val="00A347A9"/>
    <w:rsid w:val="00A352EA"/>
    <w:rsid w:val="00A35EE7"/>
    <w:rsid w:val="00A37BB3"/>
    <w:rsid w:val="00A569F2"/>
    <w:rsid w:val="00A56EDD"/>
    <w:rsid w:val="00A5724D"/>
    <w:rsid w:val="00A60690"/>
    <w:rsid w:val="00A61478"/>
    <w:rsid w:val="00A652E4"/>
    <w:rsid w:val="00A658C0"/>
    <w:rsid w:val="00A70C67"/>
    <w:rsid w:val="00A723C5"/>
    <w:rsid w:val="00A813DA"/>
    <w:rsid w:val="00A81DBC"/>
    <w:rsid w:val="00A85408"/>
    <w:rsid w:val="00A85519"/>
    <w:rsid w:val="00A858CF"/>
    <w:rsid w:val="00A930DD"/>
    <w:rsid w:val="00A95EB8"/>
    <w:rsid w:val="00A968CF"/>
    <w:rsid w:val="00A97CDB"/>
    <w:rsid w:val="00AA08BA"/>
    <w:rsid w:val="00AA59F3"/>
    <w:rsid w:val="00AB1761"/>
    <w:rsid w:val="00AB37AD"/>
    <w:rsid w:val="00AC72B7"/>
    <w:rsid w:val="00AD17A9"/>
    <w:rsid w:val="00AD2ED5"/>
    <w:rsid w:val="00AD4933"/>
    <w:rsid w:val="00AE10F6"/>
    <w:rsid w:val="00AE1B33"/>
    <w:rsid w:val="00AE33EC"/>
    <w:rsid w:val="00B03564"/>
    <w:rsid w:val="00B10167"/>
    <w:rsid w:val="00B10179"/>
    <w:rsid w:val="00B1280D"/>
    <w:rsid w:val="00B12D6B"/>
    <w:rsid w:val="00B137FE"/>
    <w:rsid w:val="00B14D82"/>
    <w:rsid w:val="00B16204"/>
    <w:rsid w:val="00B16D18"/>
    <w:rsid w:val="00B25BA2"/>
    <w:rsid w:val="00B27C70"/>
    <w:rsid w:val="00B32105"/>
    <w:rsid w:val="00B412FA"/>
    <w:rsid w:val="00B4536A"/>
    <w:rsid w:val="00B50FB9"/>
    <w:rsid w:val="00B52186"/>
    <w:rsid w:val="00B53C57"/>
    <w:rsid w:val="00B54B22"/>
    <w:rsid w:val="00B55710"/>
    <w:rsid w:val="00B56179"/>
    <w:rsid w:val="00B57850"/>
    <w:rsid w:val="00B611A1"/>
    <w:rsid w:val="00B61DD8"/>
    <w:rsid w:val="00B679AF"/>
    <w:rsid w:val="00B8017C"/>
    <w:rsid w:val="00B80F49"/>
    <w:rsid w:val="00B815AC"/>
    <w:rsid w:val="00B82F2F"/>
    <w:rsid w:val="00B859D1"/>
    <w:rsid w:val="00B96942"/>
    <w:rsid w:val="00B97E65"/>
    <w:rsid w:val="00BA144E"/>
    <w:rsid w:val="00BA1676"/>
    <w:rsid w:val="00BA2D56"/>
    <w:rsid w:val="00BA3051"/>
    <w:rsid w:val="00BA4D0E"/>
    <w:rsid w:val="00BA6182"/>
    <w:rsid w:val="00BC3D50"/>
    <w:rsid w:val="00BC457F"/>
    <w:rsid w:val="00BD1893"/>
    <w:rsid w:val="00BD2E56"/>
    <w:rsid w:val="00BD7C96"/>
    <w:rsid w:val="00BE0A23"/>
    <w:rsid w:val="00BE0F15"/>
    <w:rsid w:val="00BE1D5B"/>
    <w:rsid w:val="00BE3388"/>
    <w:rsid w:val="00BE46B6"/>
    <w:rsid w:val="00BF0DF5"/>
    <w:rsid w:val="00BF170A"/>
    <w:rsid w:val="00C00BE8"/>
    <w:rsid w:val="00C00CE5"/>
    <w:rsid w:val="00C0714E"/>
    <w:rsid w:val="00C138B1"/>
    <w:rsid w:val="00C14EF3"/>
    <w:rsid w:val="00C1538A"/>
    <w:rsid w:val="00C16DDB"/>
    <w:rsid w:val="00C21E76"/>
    <w:rsid w:val="00C229F4"/>
    <w:rsid w:val="00C24D23"/>
    <w:rsid w:val="00C2567D"/>
    <w:rsid w:val="00C25719"/>
    <w:rsid w:val="00C34AA6"/>
    <w:rsid w:val="00C36308"/>
    <w:rsid w:val="00C40982"/>
    <w:rsid w:val="00C4479D"/>
    <w:rsid w:val="00C500DE"/>
    <w:rsid w:val="00C5314F"/>
    <w:rsid w:val="00C613B1"/>
    <w:rsid w:val="00C718FE"/>
    <w:rsid w:val="00C72C65"/>
    <w:rsid w:val="00C73C41"/>
    <w:rsid w:val="00C764CF"/>
    <w:rsid w:val="00C7741A"/>
    <w:rsid w:val="00C80AC2"/>
    <w:rsid w:val="00C80D34"/>
    <w:rsid w:val="00C81513"/>
    <w:rsid w:val="00C816B1"/>
    <w:rsid w:val="00C83B89"/>
    <w:rsid w:val="00C84305"/>
    <w:rsid w:val="00C86597"/>
    <w:rsid w:val="00C9178C"/>
    <w:rsid w:val="00C921D5"/>
    <w:rsid w:val="00CA0A74"/>
    <w:rsid w:val="00CA17FA"/>
    <w:rsid w:val="00CA73D9"/>
    <w:rsid w:val="00CA7AB0"/>
    <w:rsid w:val="00CB0E26"/>
    <w:rsid w:val="00CB0FCF"/>
    <w:rsid w:val="00CB5A22"/>
    <w:rsid w:val="00CC1611"/>
    <w:rsid w:val="00CC636E"/>
    <w:rsid w:val="00CD0DAB"/>
    <w:rsid w:val="00CD17E6"/>
    <w:rsid w:val="00CD75D3"/>
    <w:rsid w:val="00CE0B0E"/>
    <w:rsid w:val="00CE10BD"/>
    <w:rsid w:val="00CE6082"/>
    <w:rsid w:val="00CE7223"/>
    <w:rsid w:val="00CE7C68"/>
    <w:rsid w:val="00CF07E3"/>
    <w:rsid w:val="00CF286B"/>
    <w:rsid w:val="00CF3864"/>
    <w:rsid w:val="00D05193"/>
    <w:rsid w:val="00D054F3"/>
    <w:rsid w:val="00D101CB"/>
    <w:rsid w:val="00D11020"/>
    <w:rsid w:val="00D245DF"/>
    <w:rsid w:val="00D25E86"/>
    <w:rsid w:val="00D301AB"/>
    <w:rsid w:val="00D32806"/>
    <w:rsid w:val="00D32A16"/>
    <w:rsid w:val="00D35A99"/>
    <w:rsid w:val="00D40112"/>
    <w:rsid w:val="00D402BC"/>
    <w:rsid w:val="00D41172"/>
    <w:rsid w:val="00D427B4"/>
    <w:rsid w:val="00D56040"/>
    <w:rsid w:val="00D578B2"/>
    <w:rsid w:val="00D66AC0"/>
    <w:rsid w:val="00D70171"/>
    <w:rsid w:val="00D7244B"/>
    <w:rsid w:val="00D732D1"/>
    <w:rsid w:val="00D751CD"/>
    <w:rsid w:val="00D823F3"/>
    <w:rsid w:val="00D879D7"/>
    <w:rsid w:val="00D93350"/>
    <w:rsid w:val="00D9435A"/>
    <w:rsid w:val="00D974E1"/>
    <w:rsid w:val="00DA0BBC"/>
    <w:rsid w:val="00DA2F59"/>
    <w:rsid w:val="00DA3426"/>
    <w:rsid w:val="00DA3C45"/>
    <w:rsid w:val="00DA7246"/>
    <w:rsid w:val="00DB011D"/>
    <w:rsid w:val="00DB5596"/>
    <w:rsid w:val="00DC0146"/>
    <w:rsid w:val="00DC0DF5"/>
    <w:rsid w:val="00DC2D81"/>
    <w:rsid w:val="00DC5890"/>
    <w:rsid w:val="00DC747A"/>
    <w:rsid w:val="00DC7724"/>
    <w:rsid w:val="00DD0F7E"/>
    <w:rsid w:val="00DD4D7B"/>
    <w:rsid w:val="00DD77E2"/>
    <w:rsid w:val="00DE6334"/>
    <w:rsid w:val="00DE7757"/>
    <w:rsid w:val="00DF09AB"/>
    <w:rsid w:val="00DF0B77"/>
    <w:rsid w:val="00DF1FA6"/>
    <w:rsid w:val="00DF4CC3"/>
    <w:rsid w:val="00DF7195"/>
    <w:rsid w:val="00E015D1"/>
    <w:rsid w:val="00E03263"/>
    <w:rsid w:val="00E039EA"/>
    <w:rsid w:val="00E0490D"/>
    <w:rsid w:val="00E056DB"/>
    <w:rsid w:val="00E0700A"/>
    <w:rsid w:val="00E07CA9"/>
    <w:rsid w:val="00E1265F"/>
    <w:rsid w:val="00E14EC7"/>
    <w:rsid w:val="00E16401"/>
    <w:rsid w:val="00E2101D"/>
    <w:rsid w:val="00E23217"/>
    <w:rsid w:val="00E2482A"/>
    <w:rsid w:val="00E26DC9"/>
    <w:rsid w:val="00E30028"/>
    <w:rsid w:val="00E302A8"/>
    <w:rsid w:val="00E32376"/>
    <w:rsid w:val="00E33002"/>
    <w:rsid w:val="00E34125"/>
    <w:rsid w:val="00E34FD7"/>
    <w:rsid w:val="00E40576"/>
    <w:rsid w:val="00E40D74"/>
    <w:rsid w:val="00E41D25"/>
    <w:rsid w:val="00E47223"/>
    <w:rsid w:val="00E533AE"/>
    <w:rsid w:val="00E567E9"/>
    <w:rsid w:val="00E56E98"/>
    <w:rsid w:val="00E61D56"/>
    <w:rsid w:val="00E63506"/>
    <w:rsid w:val="00E6621F"/>
    <w:rsid w:val="00E67191"/>
    <w:rsid w:val="00E72060"/>
    <w:rsid w:val="00E76C85"/>
    <w:rsid w:val="00E84159"/>
    <w:rsid w:val="00E84A8B"/>
    <w:rsid w:val="00E8652A"/>
    <w:rsid w:val="00E90DBC"/>
    <w:rsid w:val="00E9116A"/>
    <w:rsid w:val="00E96D66"/>
    <w:rsid w:val="00E974DE"/>
    <w:rsid w:val="00EA15CF"/>
    <w:rsid w:val="00EA1808"/>
    <w:rsid w:val="00EA2516"/>
    <w:rsid w:val="00EA2783"/>
    <w:rsid w:val="00EA27D0"/>
    <w:rsid w:val="00EA6247"/>
    <w:rsid w:val="00EA6A13"/>
    <w:rsid w:val="00EB15F2"/>
    <w:rsid w:val="00EB2627"/>
    <w:rsid w:val="00EB385A"/>
    <w:rsid w:val="00EB3D20"/>
    <w:rsid w:val="00EB7103"/>
    <w:rsid w:val="00EC3FB4"/>
    <w:rsid w:val="00EC4166"/>
    <w:rsid w:val="00EC57BC"/>
    <w:rsid w:val="00EC7A58"/>
    <w:rsid w:val="00ED162E"/>
    <w:rsid w:val="00ED2950"/>
    <w:rsid w:val="00ED3A81"/>
    <w:rsid w:val="00ED5946"/>
    <w:rsid w:val="00ED5A9F"/>
    <w:rsid w:val="00EE30C6"/>
    <w:rsid w:val="00EE35C9"/>
    <w:rsid w:val="00EE3EC4"/>
    <w:rsid w:val="00EE545F"/>
    <w:rsid w:val="00EE5834"/>
    <w:rsid w:val="00EE7AA6"/>
    <w:rsid w:val="00EF015B"/>
    <w:rsid w:val="00EF1205"/>
    <w:rsid w:val="00EF2A1F"/>
    <w:rsid w:val="00EF360C"/>
    <w:rsid w:val="00EF48A1"/>
    <w:rsid w:val="00EF4A1E"/>
    <w:rsid w:val="00EF5006"/>
    <w:rsid w:val="00EF5D1C"/>
    <w:rsid w:val="00F00DBC"/>
    <w:rsid w:val="00F018A4"/>
    <w:rsid w:val="00F15F81"/>
    <w:rsid w:val="00F16C61"/>
    <w:rsid w:val="00F16EDD"/>
    <w:rsid w:val="00F171A9"/>
    <w:rsid w:val="00F17E64"/>
    <w:rsid w:val="00F2054F"/>
    <w:rsid w:val="00F24438"/>
    <w:rsid w:val="00F273D4"/>
    <w:rsid w:val="00F3016C"/>
    <w:rsid w:val="00F336BB"/>
    <w:rsid w:val="00F44DDF"/>
    <w:rsid w:val="00F45CB9"/>
    <w:rsid w:val="00F4767C"/>
    <w:rsid w:val="00F5184F"/>
    <w:rsid w:val="00F56EA4"/>
    <w:rsid w:val="00F65E26"/>
    <w:rsid w:val="00F66299"/>
    <w:rsid w:val="00F70A68"/>
    <w:rsid w:val="00F72660"/>
    <w:rsid w:val="00F73514"/>
    <w:rsid w:val="00F737AE"/>
    <w:rsid w:val="00F769C4"/>
    <w:rsid w:val="00F80195"/>
    <w:rsid w:val="00F80720"/>
    <w:rsid w:val="00F82674"/>
    <w:rsid w:val="00F86784"/>
    <w:rsid w:val="00F93B79"/>
    <w:rsid w:val="00F951C2"/>
    <w:rsid w:val="00F96803"/>
    <w:rsid w:val="00FA5025"/>
    <w:rsid w:val="00FA57A1"/>
    <w:rsid w:val="00FA7E2B"/>
    <w:rsid w:val="00FB145B"/>
    <w:rsid w:val="00FB1E9E"/>
    <w:rsid w:val="00FB4993"/>
    <w:rsid w:val="00FC2C7F"/>
    <w:rsid w:val="00FC55AC"/>
    <w:rsid w:val="00FD0134"/>
    <w:rsid w:val="00FD1818"/>
    <w:rsid w:val="00FD5BFA"/>
    <w:rsid w:val="00FD79E8"/>
    <w:rsid w:val="00FE2E75"/>
    <w:rsid w:val="00FE5AAF"/>
    <w:rsid w:val="00FF214F"/>
    <w:rsid w:val="00FF3F72"/>
    <w:rsid w:val="00FF4B3C"/>
    <w:rsid w:val="0B9D504D"/>
    <w:rsid w:val="166554E4"/>
    <w:rsid w:val="2C2962E2"/>
    <w:rsid w:val="33CC4C39"/>
    <w:rsid w:val="4CD876A7"/>
    <w:rsid w:val="685D68EA"/>
    <w:rsid w:val="723C6AB8"/>
    <w:rsid w:val="78BC2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FC6CA7-4BD3-467F-9671-0CF6853D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2" w:qFormat="1"/>
    <w:lsdException w:name="Body Text Indent 2" w:qFormat="1"/>
    <w:lsdException w:name="Body Text Indent 3"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7">
    <w:name w:val="toc 7"/>
    <w:basedOn w:val="a"/>
    <w:next w:val="a"/>
    <w:semiHidden/>
    <w:qFormat/>
    <w:pPr>
      <w:ind w:leftChars="1200" w:left="2520"/>
    </w:pPr>
  </w:style>
  <w:style w:type="paragraph" w:styleId="a7">
    <w:name w:val="Normal Indent"/>
    <w:basedOn w:val="a"/>
    <w:qFormat/>
    <w:pPr>
      <w:ind w:firstLine="420"/>
    </w:pPr>
    <w:rPr>
      <w:szCs w:val="20"/>
    </w:rPr>
  </w:style>
  <w:style w:type="paragraph" w:styleId="a8">
    <w:name w:val="Document Map"/>
    <w:basedOn w:val="a"/>
    <w:semiHidden/>
    <w:qFormat/>
    <w:pPr>
      <w:shd w:val="clear" w:color="auto" w:fill="000080"/>
    </w:pPr>
  </w:style>
  <w:style w:type="paragraph" w:styleId="a9">
    <w:name w:val="Body Text Indent"/>
    <w:basedOn w:val="a"/>
    <w:qFormat/>
    <w:pPr>
      <w:spacing w:line="400" w:lineRule="exact"/>
      <w:ind w:firstLineChars="192" w:firstLine="538"/>
    </w:pPr>
    <w:rPr>
      <w:rFonts w:ascii="仿宋_GB2312" w:eastAsia="仿宋_GB2312" w:hAnsi="宋体"/>
      <w:color w:val="000000"/>
      <w:sz w:val="28"/>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aa">
    <w:name w:val="Plain Text"/>
    <w:basedOn w:val="a"/>
    <w:qFormat/>
    <w:rPr>
      <w:rFonts w:ascii="宋体" w:hAnsi="Courier New"/>
      <w:szCs w:val="21"/>
    </w:rPr>
  </w:style>
  <w:style w:type="paragraph" w:styleId="8">
    <w:name w:val="toc 8"/>
    <w:basedOn w:val="a"/>
    <w:next w:val="a"/>
    <w:semiHidden/>
    <w:qFormat/>
    <w:pPr>
      <w:ind w:leftChars="1400" w:left="2940"/>
    </w:pPr>
  </w:style>
  <w:style w:type="paragraph" w:styleId="2">
    <w:name w:val="Body Text Indent 2"/>
    <w:basedOn w:val="a"/>
    <w:qFormat/>
    <w:pPr>
      <w:tabs>
        <w:tab w:val="left" w:pos="540"/>
      </w:tabs>
      <w:ind w:left="540" w:firstLine="540"/>
    </w:pPr>
    <w:rPr>
      <w:rFonts w:eastAsia="长城仿宋"/>
      <w:sz w:val="24"/>
      <w:szCs w:val="20"/>
    </w:r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
    <w:name w:val="toc 4"/>
    <w:basedOn w:val="a"/>
    <w:next w:val="a"/>
    <w:qFormat/>
    <w:pPr>
      <w:ind w:leftChars="600" w:left="1260"/>
    </w:pPr>
  </w:style>
  <w:style w:type="paragraph" w:styleId="6">
    <w:name w:val="toc 6"/>
    <w:basedOn w:val="a"/>
    <w:next w:val="a"/>
    <w:semiHidden/>
    <w:qFormat/>
    <w:pPr>
      <w:ind w:leftChars="1000" w:left="2100"/>
    </w:pPr>
  </w:style>
  <w:style w:type="paragraph" w:styleId="30">
    <w:name w:val="Body Text Indent 3"/>
    <w:basedOn w:val="a"/>
    <w:qFormat/>
    <w:pPr>
      <w:ind w:left="360" w:firstLine="540"/>
    </w:pPr>
    <w:rPr>
      <w:rFonts w:eastAsia="长城仿宋"/>
      <w:sz w:val="24"/>
      <w:szCs w:val="20"/>
    </w:rPr>
  </w:style>
  <w:style w:type="paragraph" w:styleId="20">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21">
    <w:name w:val="Body Text 2"/>
    <w:basedOn w:val="a"/>
    <w:qFormat/>
    <w:pPr>
      <w:spacing w:after="120" w:line="480" w:lineRule="auto"/>
    </w:pPr>
  </w:style>
  <w:style w:type="character" w:styleId="ae">
    <w:name w:val="page number"/>
    <w:basedOn w:val="a0"/>
    <w:qFormat/>
  </w:style>
  <w:style w:type="character" w:styleId="af">
    <w:name w:val="Hyperlink"/>
    <w:qFormat/>
    <w:rPr>
      <w:color w:val="0000FF"/>
      <w:u w:val="single"/>
    </w:rPr>
  </w:style>
  <w:style w:type="character" w:styleId="af0">
    <w:name w:val="annotation reference"/>
    <w:qFormat/>
    <w:rPr>
      <w:sz w:val="21"/>
      <w:szCs w:val="21"/>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11">
    <w:name w:val="修订1"/>
    <w:hidden/>
    <w:uiPriority w:val="99"/>
    <w:semiHidden/>
    <w:qFormat/>
    <w:rPr>
      <w:kern w:val="2"/>
      <w:sz w:val="21"/>
      <w:szCs w:val="24"/>
    </w:rPr>
  </w:style>
  <w:style w:type="character" w:customStyle="1" w:styleId="unnamed11">
    <w:name w:val="unnamed11"/>
    <w:qFormat/>
    <w:rPr>
      <w:rFonts w:ascii="宋体" w:eastAsia="宋体" w:hAnsi="宋体" w:hint="eastAsia"/>
      <w:sz w:val="18"/>
    </w:rPr>
  </w:style>
  <w:style w:type="paragraph" w:customStyle="1" w:styleId="CharChar">
    <w:name w:val="Char Char"/>
    <w:basedOn w:val="a"/>
    <w:qFormat/>
    <w:rPr>
      <w:szCs w:val="20"/>
    </w:rPr>
  </w:style>
  <w:style w:type="character" w:customStyle="1" w:styleId="a6">
    <w:name w:val="批注文字 字符"/>
    <w:link w:val="a4"/>
    <w:qFormat/>
    <w:rPr>
      <w:kern w:val="2"/>
      <w:sz w:val="21"/>
      <w:szCs w:val="24"/>
    </w:rPr>
  </w:style>
  <w:style w:type="character" w:customStyle="1" w:styleId="a5">
    <w:name w:val="批注主题 字符"/>
    <w:link w:val="a3"/>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055828-753E-467C-A8F2-504159C4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2942</Words>
  <Characters>16770</Characters>
  <Application>Microsoft Office Word</Application>
  <DocSecurity>0</DocSecurity>
  <Lines>139</Lines>
  <Paragraphs>39</Paragraphs>
  <ScaleCrop>false</ScaleCrop>
  <Company>EastHome</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金鹰成份股优选证券投资基金托管协议</dc:title>
  <dc:creator>user</dc:creator>
  <cp:lastModifiedBy>刘洁</cp:lastModifiedBy>
  <cp:revision>7</cp:revision>
  <cp:lastPrinted>2013-01-24T06:57:00Z</cp:lastPrinted>
  <dcterms:created xsi:type="dcterms:W3CDTF">2019-09-11T15:15:00Z</dcterms:created>
  <dcterms:modified xsi:type="dcterms:W3CDTF">2019-11-07T00:39:00Z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