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3B" w:rsidRDefault="00700582">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优化企业开户服务</w:t>
      </w:r>
    </w:p>
    <w:p w:rsidR="008C773B" w:rsidRDefault="00700582">
      <w:pPr>
        <w:jc w:val="center"/>
        <w:rPr>
          <w:rFonts w:asciiTheme="majorEastAsia" w:eastAsiaTheme="majorEastAsia" w:hAnsiTheme="majorEastAsia" w:cstheme="majorEastAsia" w:hint="eastAsia"/>
          <w:sz w:val="44"/>
          <w:szCs w:val="44"/>
        </w:rPr>
      </w:pPr>
      <w:r>
        <w:rPr>
          <w:rFonts w:asciiTheme="majorEastAsia" w:eastAsiaTheme="majorEastAsia" w:hAnsiTheme="majorEastAsia" w:cstheme="majorEastAsia" w:hint="eastAsia"/>
          <w:sz w:val="44"/>
          <w:szCs w:val="44"/>
        </w:rPr>
        <w:t>——原则坚定性和手段灵活性的统一</w:t>
      </w:r>
    </w:p>
    <w:p w:rsidR="00D83507" w:rsidRDefault="00D83507">
      <w:pPr>
        <w:jc w:val="center"/>
        <w:rPr>
          <w:rFonts w:asciiTheme="majorEastAsia" w:eastAsiaTheme="majorEastAsia" w:hAnsiTheme="majorEastAsia" w:cstheme="majorEastAsia"/>
          <w:sz w:val="44"/>
          <w:szCs w:val="44"/>
        </w:rPr>
      </w:pPr>
    </w:p>
    <w:p w:rsidR="008C773B" w:rsidRDefault="00700582">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为积极响应中国人民太原中心支行的号召，优化企业开户服务，提高企业开户效率，缩短企业开户时</w:t>
      </w:r>
      <w:bookmarkStart w:id="0" w:name="_GoBack"/>
      <w:bookmarkEnd w:id="0"/>
      <w:r>
        <w:rPr>
          <w:rFonts w:ascii="仿宋" w:eastAsia="仿宋" w:hAnsi="仿宋" w:cs="仿宋" w:hint="eastAsia"/>
          <w:sz w:val="32"/>
          <w:szCs w:val="32"/>
        </w:rPr>
        <w:t>间，切实增强金融服务实体经济能力，推动改善营商环境，晋商银行优化了企业开户流程，在保证开户审核的有效性下，不断提高自身服务质量，真正的在改善营商环境上贡献一份绵薄之力。在做到原则坚定性的前提下，运用多种灵活手段，提高客户的满意度。</w:t>
      </w:r>
    </w:p>
    <w:p w:rsidR="008C773B" w:rsidRDefault="00700582">
      <w:pPr>
        <w:numPr>
          <w:ilvl w:val="0"/>
          <w:numId w:val="1"/>
        </w:numPr>
        <w:spacing w:line="360" w:lineRule="auto"/>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保证原则坚定性</w:t>
      </w:r>
    </w:p>
    <w:p w:rsidR="008C773B" w:rsidRDefault="00700582" w:rsidP="00D83507">
      <w:pPr>
        <w:spacing w:line="360" w:lineRule="auto"/>
        <w:ind w:leftChars="200" w:left="420"/>
        <w:jc w:val="left"/>
        <w:rPr>
          <w:rFonts w:ascii="楷体" w:eastAsia="楷体" w:hAnsi="楷体" w:cs="楷体"/>
          <w:sz w:val="32"/>
          <w:szCs w:val="32"/>
        </w:rPr>
      </w:pPr>
      <w:r>
        <w:rPr>
          <w:rFonts w:ascii="楷体" w:eastAsia="楷体" w:hAnsi="楷体" w:cs="楷体" w:hint="eastAsia"/>
          <w:sz w:val="32"/>
          <w:szCs w:val="32"/>
        </w:rPr>
        <w:t>（一）坚持指导思想</w:t>
      </w:r>
    </w:p>
    <w:p w:rsidR="008C773B" w:rsidRDefault="00700582">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深入贯彻落实党的十九大精神，坚决按照党中央、国务院关于</w:t>
      </w:r>
      <w:proofErr w:type="gramStart"/>
      <w:r>
        <w:rPr>
          <w:rFonts w:ascii="仿宋" w:eastAsia="仿宋" w:hAnsi="仿宋" w:cs="仿宋" w:hint="eastAsia"/>
          <w:sz w:val="32"/>
          <w:szCs w:val="32"/>
        </w:rPr>
        <w:t>深化商</w:t>
      </w:r>
      <w:proofErr w:type="gramEnd"/>
      <w:r>
        <w:rPr>
          <w:rFonts w:ascii="仿宋" w:eastAsia="仿宋" w:hAnsi="仿宋" w:cs="仿宋" w:hint="eastAsia"/>
          <w:sz w:val="32"/>
          <w:szCs w:val="32"/>
        </w:rPr>
        <w:t>事制度改革、优化营商环境的总体要求，充分认识优化企业开户服务对于方便企业开展生产经营活动的重要意义，按照提高效率与防范风险并重的思路，进一步优化企业开户流程，提升客户体验，提高企业开户效率，缩短企业开户时间，强化企业开户管理和风险控制，切实增强金融服务实体经济能力。</w:t>
      </w:r>
    </w:p>
    <w:p w:rsidR="008C773B" w:rsidRDefault="00700582">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对企业开户的管理与服务，对企业自身的发展，对银行的秩序经营，乃至对整体营商环境都有莫大的意义。在此情况下，银行作为企业开户的中介和平台，应按照党和政府会</w:t>
      </w:r>
      <w:r>
        <w:rPr>
          <w:rFonts w:ascii="仿宋" w:eastAsia="仿宋" w:hAnsi="仿宋" w:cs="仿宋" w:hint="eastAsia"/>
          <w:sz w:val="32"/>
          <w:szCs w:val="32"/>
        </w:rPr>
        <w:lastRenderedPageBreak/>
        <w:t>议精神的指示，合理合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的调整自身</w:t>
      </w:r>
      <w:r>
        <w:rPr>
          <w:rFonts w:ascii="仿宋" w:eastAsia="仿宋" w:hAnsi="仿宋" w:cs="仿宋" w:hint="eastAsia"/>
          <w:sz w:val="32"/>
          <w:szCs w:val="32"/>
        </w:rPr>
        <w:t>的管理服务意识和管理服务能力，做到坚持指导思想不摇，做到合法、合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w:t>
      </w:r>
    </w:p>
    <w:p w:rsidR="008C773B" w:rsidRDefault="00700582">
      <w:pPr>
        <w:spacing w:line="360" w:lineRule="auto"/>
        <w:ind w:firstLineChars="200" w:firstLine="640"/>
        <w:jc w:val="left"/>
        <w:rPr>
          <w:rFonts w:ascii="楷体" w:eastAsia="楷体" w:hAnsi="楷体" w:cs="楷体"/>
          <w:sz w:val="32"/>
          <w:szCs w:val="32"/>
        </w:rPr>
      </w:pPr>
      <w:r>
        <w:rPr>
          <w:rFonts w:ascii="楷体" w:eastAsia="楷体" w:hAnsi="楷体" w:cs="楷体" w:hint="eastAsia"/>
          <w:sz w:val="32"/>
          <w:szCs w:val="32"/>
        </w:rPr>
        <w:t>（二）贯彻基本原则</w:t>
      </w:r>
    </w:p>
    <w:p w:rsidR="008C773B" w:rsidRDefault="00700582">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一是“了解你的客户”原则。在有效识别企业身份、落实银行账户实名制、防范企业开户风险的基础上，不断优化企业开户服务。二是综合施策原则。以方便企业开户为中心，综合采取业务、技术等各种措施，优化企业开户服务。鼓励采取信息化手段，提高开户审核、资料传递等效率，让数据多跑路、企业少跑路，提高企业开户效率。三是注重实效原则。最大程度压缩企业开户时间，加快企业开户速度，提高企业对开户服务满意度。</w:t>
      </w:r>
    </w:p>
    <w:p w:rsidR="008C773B" w:rsidRDefault="00700582">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在坚持指导思想的基础上，应当贯彻基本</w:t>
      </w:r>
      <w:r>
        <w:rPr>
          <w:rFonts w:ascii="仿宋" w:eastAsia="仿宋" w:hAnsi="仿宋" w:cs="仿宋" w:hint="eastAsia"/>
          <w:sz w:val="32"/>
          <w:szCs w:val="32"/>
        </w:rPr>
        <w:t>原则，保证对企业开户审核的有效性，避免出现不必要的风险，企业开户的相关法律、人民银行相关的部门规章制度做到熟知，并能够灵活使用，结合目前不断更新的科技水平，在合法合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的前提下，提高管理水平和服务质量，增强客户的满意度。</w:t>
      </w:r>
    </w:p>
    <w:p w:rsidR="008C773B" w:rsidRDefault="00700582">
      <w:pPr>
        <w:spacing w:line="360" w:lineRule="auto"/>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二、提高手段灵活性</w:t>
      </w:r>
    </w:p>
    <w:p w:rsidR="008C773B" w:rsidRDefault="00700582" w:rsidP="00D83507">
      <w:pPr>
        <w:spacing w:line="360" w:lineRule="auto"/>
        <w:ind w:leftChars="200" w:left="420"/>
        <w:jc w:val="left"/>
        <w:rPr>
          <w:rFonts w:ascii="楷体" w:eastAsia="楷体" w:hAnsi="楷体" w:cs="楷体"/>
          <w:sz w:val="32"/>
          <w:szCs w:val="32"/>
        </w:rPr>
      </w:pPr>
      <w:r>
        <w:rPr>
          <w:rFonts w:ascii="楷体" w:eastAsia="楷体" w:hAnsi="楷体" w:cs="楷体" w:hint="eastAsia"/>
          <w:sz w:val="32"/>
          <w:szCs w:val="32"/>
        </w:rPr>
        <w:t>（一）展开主题宣传活动</w:t>
      </w:r>
    </w:p>
    <w:p w:rsidR="008C773B" w:rsidRDefault="00700582">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以晋商银行和平南路支行为例，通过多种方式提高开户的管理与服务。本次宣传活动重点宣传了该行在优化企业开户服务方面采取的措施、创新做法以及取得的成果；重点解读了人民币银行结算账户管理办法等账户管理制度，引导自觉遵守银行账户管理政策；结合市场环境，宣传加</w:t>
      </w:r>
      <w:r>
        <w:rPr>
          <w:rFonts w:ascii="仿宋" w:eastAsia="仿宋" w:hAnsi="仿宋" w:cs="仿宋" w:hint="eastAsia"/>
          <w:sz w:val="32"/>
          <w:szCs w:val="32"/>
        </w:rPr>
        <w:t>强企业开户审核在打击洗钱、电信网络诈骗等违法犯罪活动方面的重要作用。</w:t>
      </w:r>
    </w:p>
    <w:p w:rsidR="008C773B" w:rsidRDefault="00700582">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活动期间，晋商银行和平南路支行网点利用电子显示屏滚动播放“优化企业开户服务、推动改善营商环境”宣传标语，在网点营业厅张贴宣传海报，向企业客户发放宣传折页等。同时结合客户回访、账户年检、贷后管理等工作，向企业有关人员等进行了宣传。</w:t>
      </w:r>
    </w:p>
    <w:p w:rsidR="008C773B" w:rsidRDefault="00700582" w:rsidP="00D83507">
      <w:pPr>
        <w:spacing w:line="360" w:lineRule="auto"/>
        <w:ind w:leftChars="200" w:left="420"/>
        <w:jc w:val="left"/>
        <w:rPr>
          <w:rFonts w:ascii="楷体" w:eastAsia="楷体" w:hAnsi="楷体" w:cs="楷体"/>
          <w:sz w:val="32"/>
          <w:szCs w:val="32"/>
        </w:rPr>
      </w:pPr>
      <w:r>
        <w:rPr>
          <w:rFonts w:ascii="楷体" w:eastAsia="楷体" w:hAnsi="楷体" w:cs="楷体" w:hint="eastAsia"/>
          <w:sz w:val="32"/>
          <w:szCs w:val="32"/>
        </w:rPr>
        <w:t>（二）推广电子渠道和其他方式预约开户</w:t>
      </w:r>
    </w:p>
    <w:p w:rsidR="008C773B" w:rsidRDefault="00700582">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通过晋商银行官网，手机银行</w:t>
      </w:r>
      <w:r>
        <w:rPr>
          <w:rFonts w:ascii="仿宋" w:eastAsia="仿宋" w:hAnsi="仿宋" w:cs="仿宋" w:hint="eastAsia"/>
          <w:sz w:val="32"/>
          <w:szCs w:val="32"/>
        </w:rPr>
        <w:t>APP</w:t>
      </w:r>
      <w:r>
        <w:rPr>
          <w:rFonts w:ascii="仿宋" w:eastAsia="仿宋" w:hAnsi="仿宋" w:cs="仿宋" w:hint="eastAsia"/>
          <w:sz w:val="32"/>
          <w:szCs w:val="32"/>
        </w:rPr>
        <w:t>，乃至</w:t>
      </w:r>
      <w:proofErr w:type="gramStart"/>
      <w:r>
        <w:rPr>
          <w:rFonts w:ascii="仿宋" w:eastAsia="仿宋" w:hAnsi="仿宋" w:cs="仿宋" w:hint="eastAsia"/>
          <w:sz w:val="32"/>
          <w:szCs w:val="32"/>
        </w:rPr>
        <w:t>微信公众</w:t>
      </w:r>
      <w:proofErr w:type="gramEnd"/>
      <w:r>
        <w:rPr>
          <w:rFonts w:ascii="仿宋" w:eastAsia="仿宋" w:hAnsi="仿宋" w:cs="仿宋" w:hint="eastAsia"/>
          <w:sz w:val="32"/>
          <w:szCs w:val="32"/>
        </w:rPr>
        <w:t>平台，客户都能了解到开户所需的资料和开户的流程，然后选择和平南路支行开户，并联系到和平南路支行账户管理员，确定开户的具体时间和其</w:t>
      </w:r>
      <w:r>
        <w:rPr>
          <w:rFonts w:ascii="仿宋" w:eastAsia="仿宋" w:hAnsi="仿宋" w:cs="仿宋" w:hint="eastAsia"/>
          <w:sz w:val="32"/>
          <w:szCs w:val="32"/>
        </w:rPr>
        <w:t>他的要求。这无疑大大减少了客户来银行的次数，并提高了办理业务的质量，确保客户能在最短的时间完成开户。</w:t>
      </w:r>
    </w:p>
    <w:p w:rsidR="008C773B" w:rsidRDefault="00700582" w:rsidP="00D83507">
      <w:pPr>
        <w:spacing w:line="360" w:lineRule="auto"/>
        <w:ind w:leftChars="200" w:left="420"/>
        <w:jc w:val="left"/>
        <w:rPr>
          <w:rFonts w:ascii="楷体" w:eastAsia="楷体" w:hAnsi="楷体" w:cs="楷体"/>
          <w:sz w:val="32"/>
          <w:szCs w:val="32"/>
        </w:rPr>
      </w:pPr>
      <w:r>
        <w:rPr>
          <w:rFonts w:ascii="楷体" w:eastAsia="楷体" w:hAnsi="楷体" w:cs="楷体" w:hint="eastAsia"/>
          <w:sz w:val="32"/>
          <w:szCs w:val="32"/>
        </w:rPr>
        <w:t>（三）提高企业开户审核效率</w:t>
      </w:r>
    </w:p>
    <w:p w:rsidR="008C773B" w:rsidRDefault="00700582">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晋商银行减</w:t>
      </w:r>
      <w:proofErr w:type="gramStart"/>
      <w:r>
        <w:rPr>
          <w:rFonts w:ascii="仿宋" w:eastAsia="仿宋" w:hAnsi="仿宋" w:cs="仿宋" w:hint="eastAsia"/>
          <w:sz w:val="32"/>
          <w:szCs w:val="32"/>
        </w:rPr>
        <w:t>化单位</w:t>
      </w:r>
      <w:proofErr w:type="gramEnd"/>
      <w:r>
        <w:rPr>
          <w:rFonts w:ascii="仿宋" w:eastAsia="仿宋" w:hAnsi="仿宋" w:cs="仿宋" w:hint="eastAsia"/>
          <w:sz w:val="32"/>
          <w:szCs w:val="32"/>
        </w:rPr>
        <w:t>核准类账户开户资料提交流程，努力争取做到实现人民银行与网点一对一无缝衔接，业务交接时间缩减</w:t>
      </w:r>
      <w:r>
        <w:rPr>
          <w:rFonts w:ascii="仿宋" w:eastAsia="仿宋" w:hAnsi="仿宋" w:cs="仿宋" w:hint="eastAsia"/>
          <w:sz w:val="32"/>
          <w:szCs w:val="32"/>
        </w:rPr>
        <w:t>2</w:t>
      </w:r>
      <w:r>
        <w:rPr>
          <w:rFonts w:ascii="仿宋" w:eastAsia="仿宋" w:hAnsi="仿宋" w:cs="仿宋" w:hint="eastAsia"/>
          <w:sz w:val="32"/>
          <w:szCs w:val="32"/>
        </w:rPr>
        <w:t>倍左右，大大提高账户业务效率。和平南路支行也积极响应晋商银行服务山西经济环境的</w:t>
      </w:r>
      <w:proofErr w:type="gramStart"/>
      <w:r>
        <w:rPr>
          <w:rFonts w:ascii="仿宋" w:eastAsia="仿宋" w:hAnsi="仿宋" w:cs="仿宋" w:hint="eastAsia"/>
          <w:sz w:val="32"/>
          <w:szCs w:val="32"/>
        </w:rPr>
        <w:t>的</w:t>
      </w:r>
      <w:proofErr w:type="gramEnd"/>
      <w:r>
        <w:rPr>
          <w:rFonts w:ascii="仿宋" w:eastAsia="仿宋" w:hAnsi="仿宋" w:cs="仿宋" w:hint="eastAsia"/>
          <w:sz w:val="32"/>
          <w:szCs w:val="32"/>
        </w:rPr>
        <w:t>战略，在营业网点设立对公开户专窗。对于单位开户，晋商银行不收取任何服务性质费用。并不断创新与本地企业经营特点相契合的支付结算产品，减免企业</w:t>
      </w:r>
      <w:proofErr w:type="gramStart"/>
      <w:r>
        <w:rPr>
          <w:rFonts w:ascii="仿宋" w:eastAsia="仿宋" w:hAnsi="仿宋" w:cs="仿宋" w:hint="eastAsia"/>
          <w:sz w:val="32"/>
          <w:szCs w:val="32"/>
        </w:rPr>
        <w:t>询</w:t>
      </w:r>
      <w:proofErr w:type="gramEnd"/>
      <w:r>
        <w:rPr>
          <w:rFonts w:ascii="仿宋" w:eastAsia="仿宋" w:hAnsi="仿宋" w:cs="仿宋" w:hint="eastAsia"/>
          <w:sz w:val="32"/>
          <w:szCs w:val="32"/>
        </w:rPr>
        <w:t>证费用，努力提升企业开户服务广度和深度。</w:t>
      </w:r>
    </w:p>
    <w:p w:rsidR="008C773B" w:rsidRDefault="00700582" w:rsidP="00D83507">
      <w:pPr>
        <w:spacing w:line="360" w:lineRule="auto"/>
        <w:ind w:leftChars="200" w:left="420"/>
        <w:jc w:val="left"/>
        <w:rPr>
          <w:rFonts w:ascii="楷体" w:eastAsia="楷体" w:hAnsi="楷体" w:cs="楷体"/>
          <w:sz w:val="32"/>
          <w:szCs w:val="32"/>
        </w:rPr>
      </w:pPr>
      <w:r>
        <w:rPr>
          <w:rFonts w:ascii="楷体" w:eastAsia="楷体" w:hAnsi="楷体" w:cs="楷体" w:hint="eastAsia"/>
          <w:sz w:val="32"/>
          <w:szCs w:val="32"/>
        </w:rPr>
        <w:t>（四）前中后</w:t>
      </w:r>
      <w:r>
        <w:rPr>
          <w:rFonts w:ascii="楷体" w:eastAsia="楷体" w:hAnsi="楷体" w:cs="楷体" w:hint="eastAsia"/>
          <w:sz w:val="32"/>
          <w:szCs w:val="32"/>
        </w:rPr>
        <w:t>台分工合作，加快业务办理效率</w:t>
      </w:r>
    </w:p>
    <w:p w:rsidR="008C773B" w:rsidRDefault="00700582">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晋商银行和平南路支行上下齐心协力、分工明确，账户管理员辅助客户完成开户</w:t>
      </w:r>
      <w:proofErr w:type="gramStart"/>
      <w:r>
        <w:rPr>
          <w:rFonts w:ascii="仿宋" w:eastAsia="仿宋" w:hAnsi="仿宋" w:cs="仿宋" w:hint="eastAsia"/>
          <w:sz w:val="32"/>
          <w:szCs w:val="32"/>
        </w:rPr>
        <w:t>前资料</w:t>
      </w:r>
      <w:proofErr w:type="gramEnd"/>
      <w:r>
        <w:rPr>
          <w:rFonts w:ascii="仿宋" w:eastAsia="仿宋" w:hAnsi="仿宋" w:cs="仿宋" w:hint="eastAsia"/>
          <w:sz w:val="32"/>
          <w:szCs w:val="32"/>
        </w:rPr>
        <w:t>提交、填写与核实工作，网点柜员负责业务操作，分行作业中心成员完成业务审核。精细化分工管理进一步降低客户业务等待时间，强化业务质效，提升客户体验。</w:t>
      </w:r>
    </w:p>
    <w:p w:rsidR="008C773B" w:rsidRDefault="00700582">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晋商银行和平南路支行将进一步提升企业开户服务的广度和深度，确保优化企业开户服务各项措施落到实处，切实优化整个开户流程，为客户提供便捷、优质的服务。在坚守原则的基础上，运用多种灵活的手段提高自身在开户方面的管理和服务能力。</w:t>
      </w:r>
    </w:p>
    <w:p w:rsidR="008C773B" w:rsidRDefault="00700582">
      <w:pPr>
        <w:spacing w:line="360" w:lineRule="auto"/>
        <w:ind w:firstLineChars="200" w:firstLine="640"/>
        <w:jc w:val="left"/>
        <w:rPr>
          <w:rFonts w:ascii="宋体" w:eastAsia="宋体" w:hAnsi="宋体" w:cs="宋体"/>
          <w:sz w:val="24"/>
        </w:rPr>
      </w:pPr>
      <w:r>
        <w:rPr>
          <w:rFonts w:ascii="仿宋" w:eastAsia="仿宋" w:hAnsi="仿宋" w:cs="仿宋" w:hint="eastAsia"/>
          <w:sz w:val="32"/>
          <w:szCs w:val="32"/>
        </w:rPr>
        <w:t xml:space="preserve">                                    </w:t>
      </w:r>
      <w:r>
        <w:rPr>
          <w:rFonts w:ascii="宋体" w:eastAsia="宋体" w:hAnsi="宋体" w:cs="宋体" w:hint="eastAsia"/>
          <w:sz w:val="24"/>
        </w:rPr>
        <w:t xml:space="preserve">               </w:t>
      </w:r>
    </w:p>
    <w:p w:rsidR="008C773B" w:rsidRDefault="00700582">
      <w:pPr>
        <w:spacing w:line="360" w:lineRule="auto"/>
        <w:jc w:val="left"/>
        <w:rPr>
          <w:rFonts w:ascii="宋体" w:eastAsia="宋体" w:hAnsi="宋体" w:cs="宋体"/>
          <w:sz w:val="24"/>
        </w:rPr>
      </w:pPr>
      <w:r>
        <w:rPr>
          <w:rFonts w:ascii="宋体" w:eastAsia="宋体" w:hAnsi="宋体" w:cs="宋体" w:hint="eastAsia"/>
          <w:sz w:val="24"/>
        </w:rPr>
        <w:t xml:space="preserve">                                                        </w:t>
      </w:r>
    </w:p>
    <w:p w:rsidR="008C773B" w:rsidRDefault="00700582">
      <w:pPr>
        <w:spacing w:line="360" w:lineRule="auto"/>
        <w:ind w:firstLineChars="200" w:firstLine="480"/>
        <w:jc w:val="left"/>
        <w:rPr>
          <w:rFonts w:ascii="仿宋" w:eastAsia="仿宋" w:hAnsi="仿宋" w:cs="仿宋"/>
          <w:sz w:val="32"/>
          <w:szCs w:val="32"/>
        </w:rPr>
      </w:pPr>
      <w:r>
        <w:rPr>
          <w:rFonts w:ascii="宋体" w:eastAsia="宋体" w:hAnsi="宋体" w:cs="宋体" w:hint="eastAsia"/>
          <w:sz w:val="24"/>
        </w:rPr>
        <w:t xml:space="preserve">                                   </w:t>
      </w:r>
      <w:r>
        <w:rPr>
          <w:rFonts w:ascii="仿宋" w:eastAsia="仿宋" w:hAnsi="仿宋" w:cs="仿宋" w:hint="eastAsia"/>
          <w:sz w:val="32"/>
          <w:szCs w:val="32"/>
        </w:rPr>
        <w:t>晋商银行和平南路支行</w:t>
      </w:r>
    </w:p>
    <w:p w:rsidR="008C773B" w:rsidRDefault="00700582">
      <w:pPr>
        <w:spacing w:line="360" w:lineRule="auto"/>
        <w:ind w:leftChars="304" w:left="6078" w:hangingChars="1700" w:hanging="54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王利康</w:t>
      </w:r>
    </w:p>
    <w:p w:rsidR="008C773B" w:rsidRDefault="008C773B">
      <w:pPr>
        <w:spacing w:line="360" w:lineRule="auto"/>
        <w:ind w:firstLineChars="200" w:firstLine="640"/>
        <w:jc w:val="left"/>
        <w:rPr>
          <w:rFonts w:ascii="仿宋" w:eastAsia="仿宋" w:hAnsi="仿宋" w:cs="仿宋"/>
          <w:sz w:val="32"/>
          <w:szCs w:val="32"/>
        </w:rPr>
      </w:pPr>
    </w:p>
    <w:sectPr w:rsidR="008C77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82" w:rsidRDefault="00700582" w:rsidP="00D83507">
      <w:r>
        <w:separator/>
      </w:r>
    </w:p>
  </w:endnote>
  <w:endnote w:type="continuationSeparator" w:id="0">
    <w:p w:rsidR="00700582" w:rsidRDefault="00700582" w:rsidP="00D8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82" w:rsidRDefault="00700582" w:rsidP="00D83507">
      <w:r>
        <w:separator/>
      </w:r>
    </w:p>
  </w:footnote>
  <w:footnote w:type="continuationSeparator" w:id="0">
    <w:p w:rsidR="00700582" w:rsidRDefault="00700582" w:rsidP="00D83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A0EE9"/>
    <w:multiLevelType w:val="singleLevel"/>
    <w:tmpl w:val="72FA0EE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3B"/>
    <w:rsid w:val="00700582"/>
    <w:rsid w:val="008C773B"/>
    <w:rsid w:val="00D83507"/>
    <w:rsid w:val="272033D0"/>
    <w:rsid w:val="358A7232"/>
    <w:rsid w:val="4A4E4E77"/>
    <w:rsid w:val="4A8964B2"/>
    <w:rsid w:val="642C3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3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3507"/>
    <w:rPr>
      <w:rFonts w:asciiTheme="minorHAnsi" w:eastAsiaTheme="minorEastAsia" w:hAnsiTheme="minorHAnsi" w:cstheme="minorBidi"/>
      <w:kern w:val="2"/>
      <w:sz w:val="18"/>
      <w:szCs w:val="18"/>
    </w:rPr>
  </w:style>
  <w:style w:type="paragraph" w:styleId="a4">
    <w:name w:val="footer"/>
    <w:basedOn w:val="a"/>
    <w:link w:val="Char0"/>
    <w:rsid w:val="00D83507"/>
    <w:pPr>
      <w:tabs>
        <w:tab w:val="center" w:pos="4153"/>
        <w:tab w:val="right" w:pos="8306"/>
      </w:tabs>
      <w:snapToGrid w:val="0"/>
      <w:jc w:val="left"/>
    </w:pPr>
    <w:rPr>
      <w:sz w:val="18"/>
      <w:szCs w:val="18"/>
    </w:rPr>
  </w:style>
  <w:style w:type="character" w:customStyle="1" w:styleId="Char0">
    <w:name w:val="页脚 Char"/>
    <w:basedOn w:val="a0"/>
    <w:link w:val="a4"/>
    <w:rsid w:val="00D8350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3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3507"/>
    <w:rPr>
      <w:rFonts w:asciiTheme="minorHAnsi" w:eastAsiaTheme="minorEastAsia" w:hAnsiTheme="minorHAnsi" w:cstheme="minorBidi"/>
      <w:kern w:val="2"/>
      <w:sz w:val="18"/>
      <w:szCs w:val="18"/>
    </w:rPr>
  </w:style>
  <w:style w:type="paragraph" w:styleId="a4">
    <w:name w:val="footer"/>
    <w:basedOn w:val="a"/>
    <w:link w:val="Char0"/>
    <w:rsid w:val="00D83507"/>
    <w:pPr>
      <w:tabs>
        <w:tab w:val="center" w:pos="4153"/>
        <w:tab w:val="right" w:pos="8306"/>
      </w:tabs>
      <w:snapToGrid w:val="0"/>
      <w:jc w:val="left"/>
    </w:pPr>
    <w:rPr>
      <w:sz w:val="18"/>
      <w:szCs w:val="18"/>
    </w:rPr>
  </w:style>
  <w:style w:type="character" w:customStyle="1" w:styleId="Char0">
    <w:name w:val="页脚 Char"/>
    <w:basedOn w:val="a0"/>
    <w:link w:val="a4"/>
    <w:rsid w:val="00D8350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1649</Characters>
  <Application>Microsoft Office Word</Application>
  <DocSecurity>0</DocSecurity>
  <Lines>13</Lines>
  <Paragraphs>3</Paragraphs>
  <ScaleCrop>false</ScaleCrop>
  <Company>Hewlett-Packard Company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王晓雯</cp:lastModifiedBy>
  <cp:revision>2</cp:revision>
  <dcterms:created xsi:type="dcterms:W3CDTF">2014-10-29T12:08:00Z</dcterms:created>
  <dcterms:modified xsi:type="dcterms:W3CDTF">2018-04-02T06:45:00Z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